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云商务智能实验教学平台技术</w:t>
      </w:r>
      <w:r>
        <w:rPr>
          <w:b/>
          <w:sz w:val="36"/>
          <w:szCs w:val="36"/>
        </w:rPr>
        <w:t>参数</w:t>
      </w:r>
    </w:p>
    <w:tbl>
      <w:tblPr>
        <w:tblStyle w:val="4"/>
        <w:tblW w:w="99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7108"/>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jc w:val="center"/>
              <w:rPr>
                <w:sz w:val="22"/>
              </w:rPr>
            </w:pPr>
            <w:r>
              <w:rPr>
                <w:rFonts w:hint="eastAsia"/>
                <w:sz w:val="22"/>
              </w:rPr>
              <w:t>产品名称</w:t>
            </w:r>
          </w:p>
        </w:tc>
        <w:tc>
          <w:tcPr>
            <w:tcW w:w="7108" w:type="dxa"/>
            <w:vAlign w:val="center"/>
          </w:tcPr>
          <w:p>
            <w:pPr>
              <w:jc w:val="center"/>
              <w:rPr>
                <w:sz w:val="22"/>
              </w:rPr>
            </w:pPr>
            <w:r>
              <w:rPr>
                <w:rFonts w:hint="eastAsia"/>
                <w:sz w:val="22"/>
              </w:rPr>
              <w:t>技术参数</w:t>
            </w:r>
          </w:p>
        </w:tc>
        <w:tc>
          <w:tcPr>
            <w:tcW w:w="851" w:type="dxa"/>
            <w:vAlign w:val="center"/>
          </w:tcPr>
          <w:p>
            <w:pPr>
              <w:jc w:val="center"/>
              <w:rPr>
                <w:sz w:val="22"/>
              </w:rPr>
            </w:pPr>
            <w:r>
              <w:rPr>
                <w:rFonts w:hint="eastAsia"/>
                <w:sz w:val="22"/>
              </w:rPr>
              <w:t>数量</w:t>
            </w:r>
          </w:p>
        </w:tc>
        <w:tc>
          <w:tcPr>
            <w:tcW w:w="850" w:type="dxa"/>
          </w:tcPr>
          <w:p>
            <w:pPr>
              <w:jc w:val="center"/>
              <w:rPr>
                <w:sz w:val="22"/>
              </w:rPr>
            </w:pPr>
            <w:r>
              <w:rPr>
                <w:rFonts w:hint="eastAsia"/>
                <w:sz w:val="22"/>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jc w:val="center"/>
            </w:pPr>
            <w:r>
              <w:rPr>
                <w:rFonts w:hint="eastAsia" w:cs="宋体"/>
                <w:bCs/>
              </w:rPr>
              <w:t>国际商务实践教学综合虚拟平台</w:t>
            </w:r>
          </w:p>
        </w:tc>
        <w:tc>
          <w:tcPr>
            <w:tcW w:w="7108" w:type="dxa"/>
          </w:tcPr>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★1</w:t>
            </w:r>
            <w:r>
              <w:rPr>
                <w:sz w:val="18"/>
                <w:szCs w:val="18"/>
              </w:rPr>
              <w:t xml:space="preserve"> </w:t>
            </w:r>
            <w:r>
              <w:rPr>
                <w:rFonts w:hint="eastAsia"/>
                <w:sz w:val="18"/>
                <w:szCs w:val="18"/>
              </w:rPr>
              <w:t>、该平台为B/S结构，是面向高校混合云架构部署提供云+管+端模式；支持WEB端和APP应用；平台以真实工作环境为背景，通过虚拟情景动画不同机构的岗位、角色扮演的形式让学生真实体验国际贸易业务所涉及到的单据、地点、人物、环境以及所需要协调沟通的对象与部门机构，学生扮演的岗位、角色以虚拟动画形式体现：任务的控制、行走、对话、纠错等。系统设计实验设置、角色分配、试验进度跟踪、成绩自动统计、查询等功能。（需现场演示或提供演示视频）</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w:t>
            </w:r>
            <w:r>
              <w:rPr>
                <w:sz w:val="18"/>
                <w:szCs w:val="18"/>
              </w:rPr>
              <w:t xml:space="preserve"> </w:t>
            </w:r>
            <w:r>
              <w:rPr>
                <w:rFonts w:hint="eastAsia"/>
                <w:sz w:val="18"/>
                <w:szCs w:val="18"/>
              </w:rPr>
              <w:t>、系统以背景案例与情景教学相结合的模式展示：包含完整国际贸易环境和业务流程模拟，通过角色扮演进口商、出口商、工厂、进口货代、出口货代、进口地银行、出口地银行、第三方机构等，互相配合进行业务模拟，可以选择独立完成整个业务流程。系统涉及实验设置、角色分配、实验进度跟踪、成绩自动统计、查询等功能。系统提供十二种类型的案例，对应流程分别为：“</w:t>
            </w:r>
            <w:r>
              <w:rPr>
                <w:sz w:val="18"/>
                <w:szCs w:val="18"/>
              </w:rPr>
              <w:t>CIF+L/C</w:t>
            </w:r>
            <w:r>
              <w:rPr>
                <w:rFonts w:hint="eastAsia"/>
                <w:sz w:val="18"/>
                <w:szCs w:val="18"/>
              </w:rPr>
              <w:t>”、“</w:t>
            </w:r>
            <w:r>
              <w:rPr>
                <w:sz w:val="18"/>
                <w:szCs w:val="18"/>
              </w:rPr>
              <w:t>CFR+L/C</w:t>
            </w:r>
            <w:r>
              <w:rPr>
                <w:rFonts w:hint="eastAsia"/>
                <w:sz w:val="18"/>
                <w:szCs w:val="18"/>
              </w:rPr>
              <w:t>”、“</w:t>
            </w:r>
            <w:r>
              <w:rPr>
                <w:sz w:val="18"/>
                <w:szCs w:val="18"/>
              </w:rPr>
              <w:t>FOB+L/C</w:t>
            </w:r>
            <w:r>
              <w:rPr>
                <w:rFonts w:hint="eastAsia"/>
                <w:sz w:val="18"/>
                <w:szCs w:val="18"/>
              </w:rPr>
              <w:t>”、“</w:t>
            </w:r>
            <w:r>
              <w:rPr>
                <w:sz w:val="18"/>
                <w:szCs w:val="18"/>
              </w:rPr>
              <w:t>CIF+D/P</w:t>
            </w:r>
            <w:r>
              <w:rPr>
                <w:rFonts w:hint="eastAsia"/>
                <w:sz w:val="18"/>
                <w:szCs w:val="18"/>
              </w:rPr>
              <w:t>”、“</w:t>
            </w:r>
            <w:r>
              <w:rPr>
                <w:sz w:val="18"/>
                <w:szCs w:val="18"/>
              </w:rPr>
              <w:t>CFR+D/P</w:t>
            </w:r>
            <w:r>
              <w:rPr>
                <w:rFonts w:hint="eastAsia"/>
                <w:sz w:val="18"/>
                <w:szCs w:val="18"/>
              </w:rPr>
              <w:t>”、“</w:t>
            </w:r>
            <w:r>
              <w:rPr>
                <w:sz w:val="18"/>
                <w:szCs w:val="18"/>
              </w:rPr>
              <w:t>FOB+D/P</w:t>
            </w:r>
            <w:r>
              <w:rPr>
                <w:rFonts w:hint="eastAsia"/>
                <w:sz w:val="18"/>
                <w:szCs w:val="18"/>
              </w:rPr>
              <w:t>”、“</w:t>
            </w:r>
            <w:r>
              <w:rPr>
                <w:sz w:val="18"/>
                <w:szCs w:val="18"/>
              </w:rPr>
              <w:t>CIF+D/A</w:t>
            </w:r>
            <w:r>
              <w:rPr>
                <w:rFonts w:hint="eastAsia"/>
                <w:sz w:val="18"/>
                <w:szCs w:val="18"/>
              </w:rPr>
              <w:t>”、“</w:t>
            </w:r>
            <w:r>
              <w:rPr>
                <w:sz w:val="18"/>
                <w:szCs w:val="18"/>
              </w:rPr>
              <w:t>CFR+D/A</w:t>
            </w:r>
            <w:r>
              <w:rPr>
                <w:rFonts w:hint="eastAsia"/>
                <w:sz w:val="18"/>
                <w:szCs w:val="18"/>
              </w:rPr>
              <w:t>”、“</w:t>
            </w:r>
            <w:r>
              <w:rPr>
                <w:sz w:val="18"/>
                <w:szCs w:val="18"/>
              </w:rPr>
              <w:t>FOB+D/A</w:t>
            </w:r>
            <w:r>
              <w:rPr>
                <w:rFonts w:hint="eastAsia"/>
                <w:sz w:val="18"/>
                <w:szCs w:val="18"/>
              </w:rPr>
              <w:t>”、“</w:t>
            </w:r>
            <w:r>
              <w:rPr>
                <w:sz w:val="18"/>
                <w:szCs w:val="18"/>
              </w:rPr>
              <w:t>CIF+T/T</w:t>
            </w:r>
            <w:r>
              <w:rPr>
                <w:rFonts w:hint="eastAsia"/>
                <w:sz w:val="18"/>
                <w:szCs w:val="18"/>
              </w:rPr>
              <w:t>”、“</w:t>
            </w:r>
            <w:r>
              <w:rPr>
                <w:sz w:val="18"/>
                <w:szCs w:val="18"/>
              </w:rPr>
              <w:t>CFR+T/T</w:t>
            </w:r>
            <w:r>
              <w:rPr>
                <w:rFonts w:hint="eastAsia"/>
                <w:sz w:val="18"/>
                <w:szCs w:val="18"/>
              </w:rPr>
              <w:t>”和“</w:t>
            </w:r>
            <w:r>
              <w:rPr>
                <w:sz w:val="18"/>
                <w:szCs w:val="18"/>
              </w:rPr>
              <w:t>FOB+T/T</w:t>
            </w:r>
            <w:r>
              <w:rPr>
                <w:rFonts w:hint="eastAsia"/>
                <w:sz w:val="18"/>
                <w:szCs w:val="18"/>
              </w:rPr>
              <w:t>”；业务环节涉及：商品管理、报价、询价、签约、信用证、出运、报关、报检、储运、单证、核销、出口退税、出口信用险、国外收汇、国内收款、付汇、国内费用支付、索赔、信用交易管理等各环节。（需现场演示或提供演示视频）</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3、后台功能模块：后台管理系统具有</w:t>
            </w:r>
            <w:r>
              <w:rPr>
                <w:sz w:val="18"/>
                <w:szCs w:val="18"/>
              </w:rPr>
              <w:t>:[</w:t>
            </w:r>
            <w:r>
              <w:rPr>
                <w:rFonts w:hint="eastAsia"/>
                <w:sz w:val="18"/>
                <w:szCs w:val="18"/>
              </w:rPr>
              <w:t>教师管理、班级管理、学生管理、案例背景、实验设置、参数设置、文件上传、业务中心、成绩管理、资料修改、调研背景和调研题库</w:t>
            </w:r>
            <w:r>
              <w:rPr>
                <w:sz w:val="18"/>
                <w:szCs w:val="18"/>
              </w:rPr>
              <w:t>]</w:t>
            </w:r>
            <w:r>
              <w:rPr>
                <w:rFonts w:hint="eastAsia"/>
                <w:sz w:val="18"/>
                <w:szCs w:val="18"/>
              </w:rPr>
              <w:t>共十二个模块。管理员拥有最高的系统管理权限进行后台的管理。</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sz w:val="18"/>
                <w:szCs w:val="18"/>
              </w:rPr>
            </w:pPr>
            <w:r>
              <w:rPr>
                <w:rFonts w:hint="eastAsia"/>
                <w:sz w:val="18"/>
                <w:szCs w:val="18"/>
              </w:rPr>
              <w:t>4、前台业务流程训练子系统包含完整国际贸易环境下业务流程模拟，学生通过国际业务中心、国际市场调研、国际案例分析、国际沟通交流等模块，展示企业、产品、经贸动态、第三方机构以及服务机构的市场调研分析，宏观环境、政治经济环境的分析后建立业务关系；角色扮演贸易企业、贸易部、银行、商检、海关、保险公司、船公司、货代、业务员、跟单员、报关员等，互相配合进行业务模拟，可以选择独立或团队协作完成整个业务流程。</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5、前台业务中心模块主要用于存储实验课程相关资料，并以此为基础搭建成为构建一个B2B国际贸易环境，以实现学生任务过程考核及资料查询信息发布等。共划分为国际资讯中心、国际市场调查和国际案例分析三大子系统。（需现场演示或提供演示视频）</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6、各小组或个人流程任务结果后由系统根据学生各步骤操作自动点评综合得分，教师可据此按要求予以评判各组的实验成果。</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7、国际商务实践教学综合虚拟平台为客户提供了灵活的学习及实验模式，教师可根据课程及学员实际情况调整实验组模式及角色权限，考试模式下调整试题难易度，让学生知识与技能稳步提高。（需现场演示或提供演示视频）</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8、该平台支持移动端支持学生自主学习、教师备课以及教案与MOOC/SPOC互相转化以及LIVE功能，移动APP端支持学情与课情数据统计分析；包括实现多端数据同步，动态更新，移动化教学。（需现场演示或提供演示视频）</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★9、该平台面向高校提供案例不少于10套；提供MOOC/SPOC资源不少于50门；提供LIVE直播功能并发不低于300路。（需现场演示或提供演示视频）</w:t>
            </w:r>
          </w:p>
          <w:p>
            <w:pPr>
              <w:keepNext w:val="0"/>
              <w:keepLines w:val="0"/>
              <w:pageBreakBefore w:val="0"/>
              <w:widowControl w:val="0"/>
              <w:kinsoku/>
              <w:wordWrap/>
              <w:overflowPunct/>
              <w:topLinePunct w:val="0"/>
              <w:autoSpaceDE/>
              <w:autoSpaceDN/>
              <w:bidi w:val="0"/>
              <w:adjustRightInd/>
              <w:snapToGrid/>
              <w:textAlignment w:val="auto"/>
              <w:rPr>
                <w:rFonts w:hint="eastAsia"/>
                <w:sz w:val="18"/>
                <w:szCs w:val="18"/>
              </w:rPr>
            </w:pPr>
            <w:r>
              <w:rPr>
                <w:rFonts w:hint="eastAsia"/>
                <w:sz w:val="18"/>
                <w:szCs w:val="18"/>
              </w:rPr>
              <w:t>1</w:t>
            </w:r>
            <w:r>
              <w:rPr>
                <w:sz w:val="18"/>
                <w:szCs w:val="18"/>
              </w:rPr>
              <w:t>0</w:t>
            </w:r>
            <w:r>
              <w:rPr>
                <w:rFonts w:hint="eastAsia"/>
                <w:sz w:val="18"/>
                <w:szCs w:val="18"/>
              </w:rPr>
              <w:t>、软件</w:t>
            </w:r>
            <w:r>
              <w:rPr>
                <w:rFonts w:hint="eastAsia"/>
                <w:sz w:val="18"/>
                <w:szCs w:val="18"/>
                <w:lang w:val="en-US" w:eastAsia="zh-CN"/>
              </w:rPr>
              <w:t>能够免费对接学校智慧校园。</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lang w:val="en-US" w:eastAsia="zh-CN"/>
              </w:rPr>
              <w:t>11、</w:t>
            </w:r>
            <w:r>
              <w:rPr>
                <w:rFonts w:hint="eastAsia"/>
                <w:sz w:val="18"/>
                <w:szCs w:val="18"/>
              </w:rPr>
              <w:t>软件同时在线人数：无限制，且</w:t>
            </w:r>
            <w:r>
              <w:rPr>
                <w:rFonts w:hint="eastAsia"/>
                <w:sz w:val="18"/>
                <w:szCs w:val="18"/>
                <w:lang w:val="en-US" w:eastAsia="zh-CN"/>
              </w:rPr>
              <w:t>保证</w:t>
            </w:r>
            <w:r>
              <w:rPr>
                <w:rFonts w:hint="eastAsia"/>
                <w:sz w:val="18"/>
                <w:szCs w:val="18"/>
              </w:rPr>
              <w:t>运行流畅。</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sz w:val="18"/>
                <w:szCs w:val="18"/>
              </w:rPr>
              <w:t>1</w:t>
            </w:r>
            <w:r>
              <w:rPr>
                <w:rFonts w:hint="eastAsia"/>
                <w:sz w:val="18"/>
                <w:szCs w:val="18"/>
                <w:lang w:val="en-US" w:eastAsia="zh-CN"/>
              </w:rPr>
              <w:t>2</w:t>
            </w:r>
            <w:r>
              <w:rPr>
                <w:rFonts w:hint="eastAsia"/>
                <w:sz w:val="18"/>
                <w:szCs w:val="18"/>
              </w:rPr>
              <w:t>、软件需提供终身免费调试、维护、升级服务，</w:t>
            </w:r>
            <w:r>
              <w:rPr>
                <w:sz w:val="18"/>
                <w:szCs w:val="18"/>
              </w:rPr>
              <w:t>提供不限人数的免费师生培训服务</w:t>
            </w:r>
            <w:r>
              <w:rPr>
                <w:rFonts w:hint="eastAsia"/>
                <w:sz w:val="18"/>
                <w:szCs w:val="18"/>
              </w:rPr>
              <w:t>。</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sz w:val="18"/>
                <w:szCs w:val="18"/>
                <w:lang w:eastAsia="zh-CN"/>
              </w:rPr>
            </w:pPr>
            <w:r>
              <w:rPr>
                <w:rFonts w:hint="eastAsia"/>
                <w:sz w:val="18"/>
                <w:szCs w:val="18"/>
              </w:rPr>
              <w:t>★</w:t>
            </w:r>
            <w:r>
              <w:rPr>
                <w:sz w:val="18"/>
                <w:szCs w:val="18"/>
              </w:rPr>
              <w:t>1</w:t>
            </w:r>
            <w:r>
              <w:rPr>
                <w:rFonts w:hint="eastAsia"/>
                <w:sz w:val="18"/>
                <w:szCs w:val="18"/>
                <w:lang w:val="en-US" w:eastAsia="zh-CN"/>
              </w:rPr>
              <w:t>3</w:t>
            </w:r>
            <w:r>
              <w:rPr>
                <w:rFonts w:hint="eastAsia"/>
                <w:sz w:val="18"/>
                <w:szCs w:val="18"/>
              </w:rPr>
              <w:t>、提供生产厂家针对该项目的售后服务承诺书并加盖生产厂家公章</w:t>
            </w:r>
            <w:r>
              <w:rPr>
                <w:rFonts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★1</w:t>
            </w:r>
            <w:r>
              <w:rPr>
                <w:rFonts w:hint="eastAsia"/>
                <w:sz w:val="18"/>
                <w:szCs w:val="18"/>
                <w:lang w:val="en-US" w:eastAsia="zh-CN"/>
              </w:rPr>
              <w:t>4</w:t>
            </w:r>
            <w:r>
              <w:rPr>
                <w:rFonts w:hint="eastAsia"/>
                <w:sz w:val="18"/>
                <w:szCs w:val="18"/>
              </w:rPr>
              <w:t>、提供国际商务实践教学综合虚拟平台计算机软件著作权登记证书复印件并加盖生产厂家公章。</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★1</w:t>
            </w:r>
            <w:r>
              <w:rPr>
                <w:rFonts w:hint="eastAsia"/>
                <w:sz w:val="18"/>
                <w:szCs w:val="18"/>
                <w:lang w:val="en-US" w:eastAsia="zh-CN"/>
              </w:rPr>
              <w:t>5</w:t>
            </w:r>
            <w:r>
              <w:rPr>
                <w:rFonts w:hint="eastAsia"/>
                <w:sz w:val="18"/>
                <w:szCs w:val="18"/>
              </w:rPr>
              <w:t>、提供国际商务实践教学综合虚拟平台软件产品登记测试报告复印件并加盖生产厂家公章。</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1</w:t>
            </w:r>
            <w:r>
              <w:rPr>
                <w:rFonts w:hint="eastAsia"/>
                <w:sz w:val="18"/>
                <w:szCs w:val="18"/>
                <w:lang w:val="en-US" w:eastAsia="zh-CN"/>
              </w:rPr>
              <w:t>6</w:t>
            </w:r>
            <w:r>
              <w:rPr>
                <w:rFonts w:hint="eastAsia"/>
                <w:sz w:val="18"/>
                <w:szCs w:val="18"/>
              </w:rPr>
              <w:t>、提供智慧云课堂平台计算机软件著作权登记证书复印件并加盖生产厂家公章。</w:t>
            </w:r>
          </w:p>
        </w:tc>
        <w:tc>
          <w:tcPr>
            <w:tcW w:w="851" w:type="dxa"/>
            <w:vAlign w:val="center"/>
          </w:tcPr>
          <w:p>
            <w:pPr>
              <w:jc w:val="center"/>
              <w:rPr>
                <w:rFonts w:ascii="宋体"/>
              </w:rPr>
            </w:pPr>
            <w:r>
              <w:rPr>
                <w:rFonts w:hint="eastAsia" w:ascii="宋体"/>
              </w:rPr>
              <w:t>1</w:t>
            </w:r>
          </w:p>
        </w:tc>
        <w:tc>
          <w:tcPr>
            <w:tcW w:w="850" w:type="dxa"/>
            <w:vAlign w:val="center"/>
          </w:tcPr>
          <w:p>
            <w:pPr>
              <w:jc w:val="center"/>
              <w:rPr>
                <w:rFonts w:ascii="宋体"/>
              </w:rPr>
            </w:pPr>
            <w:r>
              <w:rPr>
                <w:rFonts w:ascii="宋体"/>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jc w:val="center"/>
              <w:rPr>
                <w:rFonts w:cs="宋体"/>
                <w:bCs/>
              </w:rPr>
            </w:pPr>
            <w:r>
              <w:rPr>
                <w:rFonts w:hint="eastAsia" w:cs="宋体"/>
                <w:bCs/>
              </w:rPr>
              <w:t>国际商务谈判教学平台</w:t>
            </w:r>
          </w:p>
        </w:tc>
        <w:tc>
          <w:tcPr>
            <w:tcW w:w="710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1.国际商务谈判教学平台具有背景案例与情景教学相结合的教学模式，遵循国际商务谈判规则，软件具有“还原真实”的教学理念与商务谈判场景，可体验面对面教学模式，专家与教师可在线点评；同时具备视频、音频高并发多个班级、多个小组参与在线谈判功能，系统后台可以自动录制并合成谈判场景，教师可以在线点评或直播不同的谈判过程。将音视频同步合成与直播或点播的技术手段综合体现在实践中学习。</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2.国际商务谈判教学分为八大模块：双语教学课程、自主学习、经典音视频、方案策划、商务谈判、签订协议、成绩排行及在线理论考核；通过多种仿真场景、音视频同步的技术手段综合体现在实践中学习，真正做到理论与实践相结合，</w:t>
            </w:r>
            <w:r>
              <w:rPr>
                <w:sz w:val="18"/>
                <w:szCs w:val="18"/>
              </w:rPr>
              <w:t xml:space="preserve"> </w:t>
            </w:r>
            <w:r>
              <w:rPr>
                <w:rFonts w:hint="eastAsia"/>
                <w:sz w:val="18"/>
                <w:szCs w:val="18"/>
              </w:rPr>
              <w:t>理论指导实践，实践检验理论的五位一体教学模式。</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2.</w:t>
            </w:r>
            <w:r>
              <w:rPr>
                <w:sz w:val="18"/>
                <w:szCs w:val="18"/>
              </w:rPr>
              <w:t>1</w:t>
            </w:r>
            <w:r>
              <w:rPr>
                <w:rFonts w:hint="eastAsia"/>
                <w:sz w:val="18"/>
                <w:szCs w:val="18"/>
              </w:rPr>
              <w:t>管理员后台管理系统具有</w:t>
            </w:r>
            <w:r>
              <w:rPr>
                <w:sz w:val="18"/>
                <w:szCs w:val="18"/>
              </w:rPr>
              <w:t>:[</w:t>
            </w:r>
            <w:r>
              <w:rPr>
                <w:rFonts w:hint="eastAsia"/>
                <w:sz w:val="18"/>
                <w:szCs w:val="18"/>
              </w:rPr>
              <w:t>教师管理（管理员后台独有）、参数管理、案例管理、题库管理、试卷管理、资料管理、音视频库、服务管理、数据维护、个人信息</w:t>
            </w:r>
            <w:r>
              <w:rPr>
                <w:sz w:val="18"/>
                <w:szCs w:val="18"/>
              </w:rPr>
              <w:t>]</w:t>
            </w:r>
            <w:r>
              <w:rPr>
                <w:rFonts w:hint="eastAsia"/>
                <w:sz w:val="18"/>
                <w:szCs w:val="18"/>
              </w:rPr>
              <w:t>共十个模块。管理员拥有最高的系统管理权限进行后台的管理。</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教师后台管理系统具有</w:t>
            </w:r>
            <w:r>
              <w:rPr>
                <w:sz w:val="18"/>
                <w:szCs w:val="18"/>
              </w:rPr>
              <w:t>:[</w:t>
            </w:r>
            <w:r>
              <w:rPr>
                <w:rFonts w:hint="eastAsia"/>
                <w:sz w:val="18"/>
                <w:szCs w:val="18"/>
              </w:rPr>
              <w:t>班级管理、学生管理、参数管理、案例管理、实验设置、成绩管理、题库管理、试卷管理、资料管理、谈判课程、音视频库、排行榜、个人信息</w:t>
            </w:r>
            <w:r>
              <w:rPr>
                <w:sz w:val="18"/>
                <w:szCs w:val="18"/>
              </w:rPr>
              <w:t>]</w:t>
            </w:r>
            <w:r>
              <w:rPr>
                <w:rFonts w:hint="eastAsia"/>
                <w:sz w:val="18"/>
                <w:szCs w:val="18"/>
              </w:rPr>
              <w:t>共十三个模块。教师角色进行后台实训操作事项安排。</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2.</w:t>
            </w:r>
            <w:r>
              <w:rPr>
                <w:sz w:val="18"/>
                <w:szCs w:val="18"/>
              </w:rPr>
              <w:t>2</w:t>
            </w:r>
            <w:r>
              <w:rPr>
                <w:rFonts w:hint="eastAsia"/>
                <w:sz w:val="18"/>
                <w:szCs w:val="18"/>
              </w:rPr>
              <w:t xml:space="preserve">学生前台包含了商务谈判训练系统和商务谈判考试系统。                                                                                                                                                     </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sz w:val="18"/>
                <w:szCs w:val="18"/>
                <w:lang w:eastAsia="zh-CN"/>
              </w:rPr>
            </w:pPr>
            <w:r>
              <w:rPr>
                <w:rFonts w:hint="eastAsia"/>
                <w:sz w:val="18"/>
                <w:szCs w:val="18"/>
              </w:rPr>
              <w:t>2.</w:t>
            </w:r>
            <w:r>
              <w:rPr>
                <w:sz w:val="18"/>
                <w:szCs w:val="18"/>
              </w:rPr>
              <w:t>3</w:t>
            </w:r>
            <w:r>
              <w:rPr>
                <w:rFonts w:hint="eastAsia"/>
                <w:sz w:val="18"/>
                <w:szCs w:val="18"/>
              </w:rPr>
              <w:t>、学生根据具体案例需求灵活分组，分别按谈判案例中的要求扮演买卖双方谈判角色，在实验室登录《国际商务谈判教学平台》，独立进行国际商务谈判课程的学习；国际法律法规、国际商务文化礼仪、谈判策略与技巧等的学习</w:t>
            </w:r>
            <w:r>
              <w:rPr>
                <w:rFonts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2.</w:t>
            </w:r>
            <w:r>
              <w:rPr>
                <w:sz w:val="18"/>
                <w:szCs w:val="18"/>
              </w:rPr>
              <w:t>4</w:t>
            </w:r>
            <w:r>
              <w:rPr>
                <w:rFonts w:hint="eastAsia"/>
                <w:sz w:val="18"/>
                <w:szCs w:val="18"/>
              </w:rPr>
              <w:t>、教师选定并发布本次模拟谈判题目与要求，各组学生分别查阅各自的谈判资料，准备谈判方案，按谈判程序要求进入谈判过程。谈判通过《国际商务谈判教学平台》模仿实际谈判场景，谈判代表的发言通过本平台的音频、视频控制系统可以对各小组的谈判语音、视频进行实时监控、录制、存储、回放等。</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2.</w:t>
            </w:r>
            <w:r>
              <w:rPr>
                <w:sz w:val="18"/>
                <w:szCs w:val="18"/>
              </w:rPr>
              <w:t>5</w:t>
            </w:r>
            <w:r>
              <w:rPr>
                <w:rFonts w:hint="eastAsia"/>
                <w:sz w:val="18"/>
                <w:szCs w:val="18"/>
              </w:rPr>
              <w:t>、学生进入《国际商务谈判教学平台》的实践环节。从谈判前的准备、进入谈判过程、报价、僵局处理、技巧指导、到签约、宴请完成整个谈判过程</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3、</w:t>
            </w:r>
            <w:r>
              <w:rPr>
                <w:sz w:val="18"/>
                <w:szCs w:val="18"/>
              </w:rPr>
              <w:t xml:space="preserve"> </w:t>
            </w:r>
            <w:r>
              <w:rPr>
                <w:rFonts w:hint="eastAsia"/>
                <w:sz w:val="18"/>
                <w:szCs w:val="18"/>
              </w:rPr>
              <w:t>指导教师可通过系统中的教师端随时了解各组学生的谈判实况，对全部学生或分别对每一组学生进行谈判指导与提示，也可随时就某组谈判过程中出现的典型问题对话段落进行回放，向全部同学进行实例讲评，谈判过程分析以及教师点评。</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4、各小组谈判过程结果由系统自动或教师点评综合得分，教师可据此按要求予以评判各组的谈判成果。</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5、国际商务谈判教学分为八大模块：双语教学课程、自主学习、经典音视频、方案策划、商务谈判、签订协议、成绩排行及在线理论考核；通过多种仿真场景、音视频同步的技术手段综合体现在实践中学习，真正做到理论与实践相结合，</w:t>
            </w:r>
            <w:r>
              <w:rPr>
                <w:sz w:val="18"/>
                <w:szCs w:val="18"/>
              </w:rPr>
              <w:t xml:space="preserve"> </w:t>
            </w:r>
            <w:r>
              <w:rPr>
                <w:rFonts w:hint="eastAsia"/>
                <w:sz w:val="18"/>
                <w:szCs w:val="18"/>
              </w:rPr>
              <w:t>理论指导实践，实践检验理论的五位一体教学模式。（需现场演示或提供演示视频）</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★6、该平台为B/S结构，是面向高校混合云架构部署提供云+管+端模式，支持WEB端和APP应用</w:t>
            </w:r>
            <w:r>
              <w:rPr>
                <w:rFonts w:hint="eastAsia"/>
                <w:sz w:val="18"/>
                <w:szCs w:val="18"/>
                <w:lang w:eastAsia="zh-CN"/>
              </w:rPr>
              <w:t>。</w:t>
            </w:r>
            <w:r>
              <w:rPr>
                <w:rFonts w:hint="eastAsia"/>
                <w:sz w:val="18"/>
                <w:szCs w:val="18"/>
              </w:rPr>
              <w:t xml:space="preserve"> </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★7、该平台支持移动端支持学生自主学习、教师备课以及教案与MOOC/SPOC互相转化以及LIVE功能，移动APP端支持学情与课情数据统计分析；包括实现多端数据同步，动态更新，移动化教学</w:t>
            </w:r>
            <w:r>
              <w:rPr>
                <w:rFonts w:hint="eastAsia"/>
                <w:sz w:val="18"/>
                <w:szCs w:val="18"/>
                <w:lang w:eastAsia="zh-CN"/>
              </w:rPr>
              <w:t>。</w:t>
            </w:r>
            <w:r>
              <w:rPr>
                <w:rFonts w:hint="eastAsia"/>
                <w:sz w:val="18"/>
                <w:szCs w:val="18"/>
              </w:rPr>
              <w:t>（需现场演示或提供演示视频）</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★8、该平台面向高校提供谈判案例不少于10套；提供MOOC/SPOC资源不少于50门；提供LIVE直播功能并发不低于300路。（需现场演示或提供演示视频）</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sz w:val="18"/>
                <w:szCs w:val="18"/>
                <w:lang w:eastAsia="zh-CN"/>
              </w:rPr>
            </w:pPr>
            <w:r>
              <w:rPr>
                <w:sz w:val="18"/>
                <w:szCs w:val="18"/>
              </w:rPr>
              <w:t>9</w:t>
            </w:r>
            <w:r>
              <w:rPr>
                <w:rFonts w:hint="eastAsia"/>
                <w:sz w:val="18"/>
                <w:szCs w:val="18"/>
              </w:rPr>
              <w:t>、软件同时在线人数：无限制，且</w:t>
            </w:r>
            <w:r>
              <w:rPr>
                <w:rFonts w:hint="eastAsia"/>
                <w:sz w:val="18"/>
                <w:szCs w:val="18"/>
                <w:lang w:val="en-US" w:eastAsia="zh-CN"/>
              </w:rPr>
              <w:t>保证</w:t>
            </w:r>
            <w:r>
              <w:rPr>
                <w:rFonts w:hint="eastAsia"/>
                <w:sz w:val="18"/>
                <w:szCs w:val="18"/>
              </w:rPr>
              <w:t>运行流畅</w:t>
            </w:r>
            <w:r>
              <w:rPr>
                <w:rFonts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10、软件</w:t>
            </w:r>
            <w:r>
              <w:rPr>
                <w:rFonts w:hint="eastAsia"/>
                <w:sz w:val="18"/>
                <w:szCs w:val="18"/>
                <w:lang w:val="en-US" w:eastAsia="zh-CN"/>
              </w:rPr>
              <w:t>能够免费对接学校智慧校园。</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sz w:val="18"/>
                <w:szCs w:val="18"/>
                <w:lang w:eastAsia="zh-CN"/>
              </w:rPr>
            </w:pPr>
            <w:r>
              <w:rPr>
                <w:sz w:val="18"/>
                <w:szCs w:val="18"/>
              </w:rPr>
              <w:t>1</w:t>
            </w:r>
            <w:r>
              <w:rPr>
                <w:rFonts w:hint="eastAsia"/>
                <w:sz w:val="18"/>
                <w:szCs w:val="18"/>
              </w:rPr>
              <w:t>1、提供免费软件培训（包含教师和学生）</w:t>
            </w:r>
            <w:r>
              <w:rPr>
                <w:rFonts w:hint="eastAsia"/>
                <w:sz w:val="18"/>
                <w:szCs w:val="18"/>
                <w:lang w:val="en-US" w:eastAsia="zh-CN"/>
              </w:rPr>
              <w:t>；</w:t>
            </w:r>
            <w:r>
              <w:rPr>
                <w:rFonts w:hint="eastAsia"/>
                <w:sz w:val="18"/>
                <w:szCs w:val="18"/>
              </w:rPr>
              <w:t>提供终身免费升级，免费维护等售后服务</w:t>
            </w:r>
            <w:r>
              <w:rPr>
                <w:rFonts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sz w:val="18"/>
                <w:szCs w:val="18"/>
                <w:lang w:eastAsia="zh-CN"/>
              </w:rPr>
            </w:pPr>
            <w:r>
              <w:rPr>
                <w:rFonts w:hint="eastAsia"/>
                <w:sz w:val="18"/>
                <w:szCs w:val="18"/>
              </w:rPr>
              <w:t>★</w:t>
            </w:r>
            <w:r>
              <w:rPr>
                <w:sz w:val="18"/>
                <w:szCs w:val="18"/>
              </w:rPr>
              <w:t>1</w:t>
            </w:r>
            <w:r>
              <w:rPr>
                <w:rFonts w:hint="eastAsia"/>
                <w:sz w:val="18"/>
                <w:szCs w:val="18"/>
              </w:rPr>
              <w:t>2、提供生产厂家针对该项目的售后服务承诺书并加盖生产厂家公章</w:t>
            </w:r>
            <w:r>
              <w:rPr>
                <w:rFonts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★13、提供国际商务谈判教学平台计算机软件著作权登记证书复印件并加盖生产厂家公章。</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★14、提供国际商务谈判教学平台软件产品登记测试报告复印件并加盖生产厂家公章。</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★15、提供国际商务谈判教学平台产品能够提供纳入BNTEP全国商务谈判职业培训促进就业工程相关证明文件复印件加盖生产厂家公章 。</w:t>
            </w:r>
          </w:p>
          <w:p>
            <w:pPr>
              <w:keepNext w:val="0"/>
              <w:keepLines w:val="0"/>
              <w:pageBreakBefore w:val="0"/>
              <w:widowControl w:val="0"/>
              <w:kinsoku/>
              <w:wordWrap/>
              <w:overflowPunct/>
              <w:topLinePunct w:val="0"/>
              <w:autoSpaceDE/>
              <w:autoSpaceDN/>
              <w:bidi w:val="0"/>
              <w:adjustRightInd/>
              <w:snapToGrid/>
              <w:textAlignment w:val="auto"/>
              <w:rPr>
                <w:sz w:val="18"/>
                <w:szCs w:val="18"/>
              </w:rPr>
            </w:pPr>
            <w:r>
              <w:rPr>
                <w:rFonts w:hint="eastAsia"/>
                <w:sz w:val="18"/>
                <w:szCs w:val="18"/>
              </w:rPr>
              <w:t>16、提供智慧云课堂平台计算机软件著作权登记证书复印件并加盖生产厂家公章。</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rPr>
            </w:pPr>
            <w:r>
              <w:rPr>
                <w:rFonts w:hint="eastAsia" w:ascii="宋体"/>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rPr>
            </w:pPr>
            <w:r>
              <w:rPr>
                <w:rFonts w:ascii="宋体"/>
              </w:rPr>
              <w:t>套</w:t>
            </w:r>
          </w:p>
        </w:tc>
      </w:tr>
    </w:tbl>
    <w:p/>
    <w:tbl>
      <w:tblPr>
        <w:tblStyle w:val="4"/>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98"/>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4" w:type="dxa"/>
            <w:vAlign w:val="center"/>
          </w:tcPr>
          <w:p>
            <w:pPr>
              <w:rPr>
                <w:sz w:val="18"/>
                <w:szCs w:val="18"/>
              </w:rPr>
            </w:pPr>
            <w:r>
              <w:rPr>
                <w:rFonts w:hint="eastAsia"/>
                <w:sz w:val="18"/>
                <w:szCs w:val="18"/>
              </w:rPr>
              <w:t>序号</w:t>
            </w:r>
          </w:p>
        </w:tc>
        <w:tc>
          <w:tcPr>
            <w:tcW w:w="2298" w:type="dxa"/>
            <w:vAlign w:val="center"/>
          </w:tcPr>
          <w:p>
            <w:pPr>
              <w:rPr>
                <w:sz w:val="18"/>
                <w:szCs w:val="18"/>
              </w:rPr>
            </w:pPr>
            <w:r>
              <w:rPr>
                <w:rFonts w:hint="eastAsia"/>
                <w:sz w:val="18"/>
                <w:szCs w:val="18"/>
              </w:rPr>
              <w:t>评审项目</w:t>
            </w:r>
          </w:p>
        </w:tc>
        <w:tc>
          <w:tcPr>
            <w:tcW w:w="7044" w:type="dxa"/>
            <w:vAlign w:val="center"/>
          </w:tcPr>
          <w:p>
            <w:pPr>
              <w:rPr>
                <w:sz w:val="18"/>
                <w:szCs w:val="18"/>
              </w:rPr>
            </w:pPr>
            <w:r>
              <w:rPr>
                <w:rFonts w:hint="eastAsia"/>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4" w:type="dxa"/>
            <w:vAlign w:val="center"/>
          </w:tcPr>
          <w:p>
            <w:pPr>
              <w:jc w:val="center"/>
              <w:rPr>
                <w:sz w:val="18"/>
                <w:szCs w:val="18"/>
              </w:rPr>
            </w:pPr>
            <w:r>
              <w:rPr>
                <w:rFonts w:hint="eastAsia"/>
                <w:sz w:val="18"/>
                <w:szCs w:val="18"/>
              </w:rPr>
              <w:t>1</w:t>
            </w:r>
          </w:p>
        </w:tc>
        <w:tc>
          <w:tcPr>
            <w:tcW w:w="2298" w:type="dxa"/>
            <w:vAlign w:val="center"/>
          </w:tcPr>
          <w:p>
            <w:pPr>
              <w:rPr>
                <w:sz w:val="18"/>
                <w:szCs w:val="18"/>
              </w:rPr>
            </w:pPr>
            <w:r>
              <w:rPr>
                <w:rFonts w:hint="eastAsia"/>
                <w:sz w:val="18"/>
                <w:szCs w:val="18"/>
              </w:rPr>
              <w:t>价格部分（30分）</w:t>
            </w:r>
          </w:p>
        </w:tc>
        <w:tc>
          <w:tcPr>
            <w:tcW w:w="7044" w:type="dxa"/>
            <w:vAlign w:val="center"/>
          </w:tcPr>
          <w:p>
            <w:pPr>
              <w:keepNext w:val="0"/>
              <w:keepLines w:val="0"/>
              <w:pageBreakBefore w:val="0"/>
              <w:kinsoku/>
              <w:wordWrap/>
              <w:overflowPunct/>
              <w:topLinePunct w:val="0"/>
              <w:autoSpaceDE/>
              <w:autoSpaceDN/>
              <w:bidi w:val="0"/>
              <w:adjustRightInd/>
              <w:snapToGrid/>
              <w:textAlignment w:val="auto"/>
              <w:rPr>
                <w:sz w:val="18"/>
                <w:szCs w:val="18"/>
              </w:rPr>
            </w:pPr>
            <w:r>
              <w:rPr>
                <w:rFonts w:hint="eastAsia"/>
                <w:sz w:val="18"/>
                <w:szCs w:val="18"/>
              </w:rPr>
              <w:t>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autoSpaceDN/>
              <w:bidi w:val="0"/>
              <w:adjustRightInd/>
              <w:snapToGrid/>
              <w:textAlignment w:val="auto"/>
              <w:rPr>
                <w:sz w:val="18"/>
                <w:szCs w:val="18"/>
              </w:rPr>
            </w:pPr>
            <w:r>
              <w:rPr>
                <w:rFonts w:hint="eastAsia"/>
                <w:sz w:val="18"/>
                <w:szCs w:val="18"/>
              </w:rPr>
              <w:t>投标报价得分=有效投标最低报价/投标报价×30分。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jc w:val="center"/>
              <w:rPr>
                <w:sz w:val="18"/>
                <w:szCs w:val="18"/>
              </w:rPr>
            </w:pPr>
            <w:r>
              <w:rPr>
                <w:rFonts w:hint="eastAsia"/>
                <w:sz w:val="18"/>
                <w:szCs w:val="18"/>
              </w:rPr>
              <w:t>2</w:t>
            </w:r>
          </w:p>
        </w:tc>
        <w:tc>
          <w:tcPr>
            <w:tcW w:w="2298" w:type="dxa"/>
            <w:vAlign w:val="center"/>
          </w:tcPr>
          <w:p>
            <w:pPr>
              <w:rPr>
                <w:sz w:val="18"/>
                <w:szCs w:val="18"/>
              </w:rPr>
            </w:pPr>
            <w:r>
              <w:rPr>
                <w:rFonts w:hint="eastAsia"/>
                <w:sz w:val="18"/>
                <w:szCs w:val="18"/>
              </w:rPr>
              <w:t>技术部分（40分）</w:t>
            </w:r>
          </w:p>
        </w:tc>
        <w:tc>
          <w:tcPr>
            <w:tcW w:w="7044" w:type="dxa"/>
            <w:vAlign w:val="center"/>
          </w:tcPr>
          <w:p>
            <w:pPr>
              <w:keepNext w:val="0"/>
              <w:keepLines w:val="0"/>
              <w:pageBreakBefore w:val="0"/>
              <w:kinsoku/>
              <w:wordWrap/>
              <w:overflowPunct/>
              <w:topLinePunct w:val="0"/>
              <w:autoSpaceDE/>
              <w:autoSpaceDN/>
              <w:bidi w:val="0"/>
              <w:adjustRightInd/>
              <w:snapToGrid/>
              <w:textAlignment w:val="auto"/>
              <w:rPr>
                <w:sz w:val="18"/>
                <w:szCs w:val="18"/>
              </w:rPr>
            </w:pPr>
            <w:r>
              <w:rPr>
                <w:rFonts w:hint="eastAsia"/>
                <w:sz w:val="18"/>
                <w:szCs w:val="18"/>
              </w:rPr>
              <w:t>1、技术参数及要求完全符合招标文件要求的，得40分（按照注1的要求提供证明材料）</w:t>
            </w:r>
          </w:p>
          <w:p>
            <w:pPr>
              <w:keepNext w:val="0"/>
              <w:keepLines w:val="0"/>
              <w:pageBreakBefore w:val="0"/>
              <w:kinsoku/>
              <w:wordWrap/>
              <w:overflowPunct/>
              <w:topLinePunct w:val="0"/>
              <w:autoSpaceDE/>
              <w:autoSpaceDN/>
              <w:bidi w:val="0"/>
              <w:adjustRightInd/>
              <w:snapToGrid/>
              <w:textAlignment w:val="auto"/>
              <w:rPr>
                <w:sz w:val="18"/>
                <w:szCs w:val="18"/>
              </w:rPr>
            </w:pPr>
            <w:r>
              <w:rPr>
                <w:rFonts w:hint="eastAsia"/>
                <w:sz w:val="18"/>
                <w:szCs w:val="18"/>
              </w:rPr>
              <w:t>2、不带★的技术参数及功能要求项，每有一项不符合的扣2分，扣完为止。</w:t>
            </w:r>
          </w:p>
          <w:p>
            <w:pPr>
              <w:keepNext w:val="0"/>
              <w:keepLines w:val="0"/>
              <w:pageBreakBefore w:val="0"/>
              <w:kinsoku/>
              <w:wordWrap/>
              <w:overflowPunct/>
              <w:topLinePunct w:val="0"/>
              <w:autoSpaceDE/>
              <w:autoSpaceDN/>
              <w:bidi w:val="0"/>
              <w:adjustRightInd/>
              <w:snapToGrid/>
              <w:textAlignment w:val="auto"/>
              <w:rPr>
                <w:sz w:val="18"/>
                <w:szCs w:val="18"/>
              </w:rPr>
            </w:pPr>
            <w:r>
              <w:rPr>
                <w:rFonts w:hint="eastAsia"/>
                <w:sz w:val="18"/>
                <w:szCs w:val="18"/>
              </w:rPr>
              <w:t>3、带★的技术参数及功能要求项，每有一项不满足的扣3分，扣完为止。</w:t>
            </w:r>
          </w:p>
          <w:p>
            <w:pPr>
              <w:keepNext w:val="0"/>
              <w:keepLines w:val="0"/>
              <w:pageBreakBefore w:val="0"/>
              <w:widowControl/>
              <w:kinsoku/>
              <w:wordWrap/>
              <w:overflowPunct/>
              <w:topLinePunct w:val="0"/>
              <w:autoSpaceDE/>
              <w:autoSpaceDN/>
              <w:bidi w:val="0"/>
              <w:adjustRightInd/>
              <w:snapToGrid/>
              <w:textAlignment w:val="auto"/>
              <w:rPr>
                <w:sz w:val="18"/>
                <w:szCs w:val="18"/>
              </w:rPr>
            </w:pPr>
            <w:r>
              <w:rPr>
                <w:rFonts w:hint="eastAsia"/>
                <w:sz w:val="18"/>
                <w:szCs w:val="18"/>
              </w:rPr>
              <w:t>注1：技术规格要求表中所有带“★”号的设备项必须提交技术证明材料。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34" w:type="dxa"/>
            <w:vAlign w:val="center"/>
          </w:tcPr>
          <w:p>
            <w:pPr>
              <w:jc w:val="center"/>
              <w:rPr>
                <w:sz w:val="18"/>
                <w:szCs w:val="18"/>
              </w:rPr>
            </w:pPr>
            <w:r>
              <w:rPr>
                <w:rFonts w:hint="eastAsia"/>
                <w:sz w:val="18"/>
                <w:szCs w:val="18"/>
              </w:rPr>
              <w:t>3</w:t>
            </w:r>
          </w:p>
        </w:tc>
        <w:tc>
          <w:tcPr>
            <w:tcW w:w="2298" w:type="dxa"/>
            <w:vAlign w:val="center"/>
          </w:tcPr>
          <w:p>
            <w:pPr>
              <w:rPr>
                <w:sz w:val="18"/>
                <w:szCs w:val="18"/>
              </w:rPr>
            </w:pPr>
            <w:r>
              <w:rPr>
                <w:rFonts w:hint="eastAsia"/>
                <w:sz w:val="18"/>
                <w:szCs w:val="18"/>
              </w:rPr>
              <w:t>投标人综合实力（22分）</w:t>
            </w:r>
          </w:p>
        </w:tc>
        <w:tc>
          <w:tcPr>
            <w:tcW w:w="7044" w:type="dxa"/>
            <w:vAlign w:val="center"/>
          </w:tcPr>
          <w:p>
            <w:pPr>
              <w:keepNext w:val="0"/>
              <w:keepLines w:val="0"/>
              <w:pageBreakBefore w:val="0"/>
              <w:kinsoku/>
              <w:wordWrap/>
              <w:overflowPunct/>
              <w:topLinePunct w:val="0"/>
              <w:autoSpaceDE/>
              <w:autoSpaceDN/>
              <w:bidi w:val="0"/>
              <w:adjustRightInd/>
              <w:snapToGrid/>
              <w:textAlignment w:val="auto"/>
              <w:rPr>
                <w:sz w:val="18"/>
                <w:szCs w:val="18"/>
              </w:rPr>
            </w:pPr>
            <w:r>
              <w:rPr>
                <w:rFonts w:hint="eastAsia"/>
                <w:sz w:val="18"/>
                <w:szCs w:val="18"/>
              </w:rPr>
              <w:t>1、投标人通过ISO14001、OHSAS18001、ISO9001、ISO20000、ISO27001认证，每提供一项得1</w:t>
            </w:r>
            <w:r>
              <w:rPr>
                <w:sz w:val="18"/>
                <w:szCs w:val="18"/>
              </w:rPr>
              <w:t>分</w:t>
            </w:r>
            <w:r>
              <w:rPr>
                <w:rFonts w:hint="eastAsia"/>
                <w:sz w:val="18"/>
                <w:szCs w:val="18"/>
              </w:rPr>
              <w:t>，最多得5</w:t>
            </w:r>
            <w:r>
              <w:rPr>
                <w:sz w:val="18"/>
                <w:szCs w:val="18"/>
              </w:rPr>
              <w:t>分。</w:t>
            </w:r>
            <w:r>
              <w:rPr>
                <w:rFonts w:hint="eastAsia"/>
                <w:sz w:val="18"/>
                <w:szCs w:val="18"/>
              </w:rPr>
              <w:t>（提供复印件加盖投标人公章，原件在评标时备查）</w:t>
            </w:r>
          </w:p>
          <w:p>
            <w:pPr>
              <w:keepNext w:val="0"/>
              <w:keepLines w:val="0"/>
              <w:pageBreakBefore w:val="0"/>
              <w:kinsoku/>
              <w:wordWrap/>
              <w:overflowPunct/>
              <w:topLinePunct w:val="0"/>
              <w:autoSpaceDE/>
              <w:autoSpaceDN/>
              <w:bidi w:val="0"/>
              <w:adjustRightInd/>
              <w:snapToGrid/>
              <w:textAlignment w:val="auto"/>
              <w:rPr>
                <w:rFonts w:hint="eastAsia" w:eastAsia="宋体"/>
                <w:sz w:val="18"/>
                <w:szCs w:val="18"/>
                <w:lang w:eastAsia="zh-CN"/>
              </w:rPr>
            </w:pPr>
            <w:r>
              <w:rPr>
                <w:rFonts w:hint="eastAsia"/>
                <w:sz w:val="18"/>
                <w:szCs w:val="18"/>
              </w:rPr>
              <w:t>2、投标人具有CMMI 3或以上认证证书的得</w:t>
            </w:r>
            <w:r>
              <w:rPr>
                <w:sz w:val="18"/>
                <w:szCs w:val="18"/>
              </w:rPr>
              <w:t>5</w:t>
            </w:r>
            <w:r>
              <w:rPr>
                <w:rFonts w:hint="eastAsia"/>
                <w:sz w:val="18"/>
                <w:szCs w:val="18"/>
              </w:rPr>
              <w:t>分（提供复印件加盖投标人公章，原件在评标时备查）</w:t>
            </w:r>
            <w:r>
              <w:rPr>
                <w:rFonts w:hint="eastAsia"/>
                <w:sz w:val="18"/>
                <w:szCs w:val="18"/>
                <w:lang w:eastAsia="zh-CN"/>
              </w:rPr>
              <w:t>。</w:t>
            </w:r>
          </w:p>
          <w:p>
            <w:pPr>
              <w:keepNext w:val="0"/>
              <w:keepLines w:val="0"/>
              <w:pageBreakBefore w:val="0"/>
              <w:kinsoku/>
              <w:wordWrap/>
              <w:overflowPunct/>
              <w:topLinePunct w:val="0"/>
              <w:autoSpaceDE/>
              <w:autoSpaceDN/>
              <w:bidi w:val="0"/>
              <w:adjustRightInd/>
              <w:snapToGrid/>
              <w:textAlignment w:val="auto"/>
              <w:rPr>
                <w:sz w:val="18"/>
                <w:szCs w:val="18"/>
              </w:rPr>
            </w:pPr>
            <w:r>
              <w:rPr>
                <w:rFonts w:hint="eastAsia"/>
                <w:sz w:val="18"/>
                <w:szCs w:val="18"/>
              </w:rPr>
              <w:t>3、投标人信用等级为</w:t>
            </w:r>
            <w:r>
              <w:rPr>
                <w:sz w:val="18"/>
                <w:szCs w:val="18"/>
              </w:rPr>
              <w:t xml:space="preserve">AAA </w:t>
            </w:r>
            <w:r>
              <w:rPr>
                <w:rFonts w:hint="eastAsia"/>
                <w:sz w:val="18"/>
                <w:szCs w:val="18"/>
              </w:rPr>
              <w:t>级的得3分，信用等级为</w:t>
            </w:r>
            <w:r>
              <w:rPr>
                <w:sz w:val="18"/>
                <w:szCs w:val="18"/>
              </w:rPr>
              <w:t>AA</w:t>
            </w:r>
            <w:r>
              <w:rPr>
                <w:rFonts w:hint="eastAsia"/>
                <w:sz w:val="18"/>
                <w:szCs w:val="18"/>
              </w:rPr>
              <w:t>级的得1分。未提供信用等级证书及对应的信用评估报告不得分。（提供复印件加盖投标人公章，原件在评标时备查）</w:t>
            </w:r>
          </w:p>
          <w:p>
            <w:pPr>
              <w:keepNext w:val="0"/>
              <w:keepLines w:val="0"/>
              <w:pageBreakBefore w:val="0"/>
              <w:widowControl/>
              <w:kinsoku/>
              <w:wordWrap/>
              <w:overflowPunct/>
              <w:topLinePunct w:val="0"/>
              <w:autoSpaceDE/>
              <w:autoSpaceDN/>
              <w:bidi w:val="0"/>
              <w:adjustRightInd/>
              <w:snapToGrid/>
              <w:textAlignment w:val="auto"/>
              <w:rPr>
                <w:sz w:val="18"/>
                <w:szCs w:val="18"/>
              </w:rPr>
            </w:pPr>
            <w:r>
              <w:rPr>
                <w:sz w:val="18"/>
                <w:szCs w:val="18"/>
              </w:rPr>
              <w:t>4</w:t>
            </w:r>
            <w:r>
              <w:rPr>
                <w:rFonts w:hint="eastAsia"/>
                <w:sz w:val="18"/>
                <w:szCs w:val="18"/>
              </w:rPr>
              <w:t>、投标人具有音视频集成工程企业壹级资质证书（发证机构必须为民政部注册的机构，提供网站查询结果证明）得4分。（提供复印件加盖投标人公章，原件在评标时备查）</w:t>
            </w:r>
          </w:p>
          <w:p>
            <w:pPr>
              <w:keepNext w:val="0"/>
              <w:keepLines w:val="0"/>
              <w:pageBreakBefore w:val="0"/>
              <w:widowControl/>
              <w:kinsoku/>
              <w:wordWrap/>
              <w:overflowPunct/>
              <w:topLinePunct w:val="0"/>
              <w:autoSpaceDE/>
              <w:autoSpaceDN/>
              <w:bidi w:val="0"/>
              <w:adjustRightInd/>
              <w:snapToGrid/>
              <w:textAlignment w:val="auto"/>
              <w:rPr>
                <w:rFonts w:hint="eastAsia" w:eastAsia="宋体"/>
                <w:sz w:val="18"/>
                <w:szCs w:val="18"/>
                <w:lang w:eastAsia="zh-CN"/>
              </w:rPr>
            </w:pPr>
            <w:r>
              <w:rPr>
                <w:sz w:val="18"/>
                <w:szCs w:val="18"/>
              </w:rPr>
              <w:t>5</w:t>
            </w:r>
            <w:r>
              <w:rPr>
                <w:rFonts w:hint="eastAsia"/>
                <w:sz w:val="18"/>
                <w:szCs w:val="18"/>
              </w:rPr>
              <w:t>、投标人提供信息系统业务安全服务资质证书三级或以上证书得</w:t>
            </w:r>
            <w:r>
              <w:rPr>
                <w:sz w:val="18"/>
                <w:szCs w:val="18"/>
              </w:rPr>
              <w:t>5</w:t>
            </w:r>
            <w:r>
              <w:rPr>
                <w:rFonts w:hint="eastAsia"/>
                <w:sz w:val="18"/>
                <w:szCs w:val="18"/>
              </w:rPr>
              <w:t>分（提供复印件加盖投标人公章，原件在评标时备查）</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4" w:type="dxa"/>
            <w:vAlign w:val="center"/>
          </w:tcPr>
          <w:p>
            <w:pPr>
              <w:jc w:val="center"/>
              <w:rPr>
                <w:sz w:val="18"/>
                <w:szCs w:val="18"/>
              </w:rPr>
            </w:pPr>
            <w:r>
              <w:rPr>
                <w:sz w:val="18"/>
                <w:szCs w:val="18"/>
              </w:rPr>
              <w:t>4</w:t>
            </w:r>
          </w:p>
        </w:tc>
        <w:tc>
          <w:tcPr>
            <w:tcW w:w="2298" w:type="dxa"/>
            <w:vAlign w:val="center"/>
          </w:tcPr>
          <w:p>
            <w:pPr>
              <w:rPr>
                <w:sz w:val="18"/>
                <w:szCs w:val="18"/>
              </w:rPr>
            </w:pPr>
            <w:r>
              <w:rPr>
                <w:rFonts w:hint="eastAsia"/>
                <w:sz w:val="18"/>
                <w:szCs w:val="18"/>
              </w:rPr>
              <w:t>售后服务（8分）</w:t>
            </w:r>
          </w:p>
        </w:tc>
        <w:tc>
          <w:tcPr>
            <w:tcW w:w="7044" w:type="dxa"/>
            <w:vAlign w:val="center"/>
          </w:tcPr>
          <w:p>
            <w:pPr>
              <w:keepNext w:val="0"/>
              <w:keepLines w:val="0"/>
              <w:pageBreakBefore w:val="0"/>
              <w:kinsoku/>
              <w:wordWrap/>
              <w:overflowPunct/>
              <w:topLinePunct w:val="0"/>
              <w:autoSpaceDE/>
              <w:autoSpaceDN/>
              <w:bidi w:val="0"/>
              <w:adjustRightInd/>
              <w:snapToGrid/>
              <w:textAlignment w:val="auto"/>
              <w:rPr>
                <w:sz w:val="18"/>
                <w:szCs w:val="18"/>
              </w:rPr>
            </w:pPr>
            <w:r>
              <w:rPr>
                <w:rFonts w:hint="eastAsia"/>
                <w:sz w:val="18"/>
                <w:szCs w:val="18"/>
              </w:rPr>
              <w:t>一、评标委员会根据各投标人提供的售后服务承诺、售后服务计划、售后服务团队实力对比评审，对以下内容进行打分：</w:t>
            </w:r>
          </w:p>
          <w:p>
            <w:pPr>
              <w:keepNext w:val="0"/>
              <w:keepLines w:val="0"/>
              <w:pageBreakBefore w:val="0"/>
              <w:tabs>
                <w:tab w:val="left" w:pos="0"/>
              </w:tabs>
              <w:kinsoku/>
              <w:wordWrap/>
              <w:overflowPunct/>
              <w:topLinePunct w:val="0"/>
              <w:autoSpaceDE/>
              <w:autoSpaceDN/>
              <w:bidi w:val="0"/>
              <w:adjustRightInd/>
              <w:snapToGrid/>
              <w:textAlignment w:val="auto"/>
              <w:rPr>
                <w:sz w:val="18"/>
                <w:szCs w:val="18"/>
              </w:rPr>
            </w:pPr>
            <w:r>
              <w:rPr>
                <w:rFonts w:hint="eastAsia"/>
                <w:sz w:val="18"/>
                <w:szCs w:val="18"/>
              </w:rPr>
              <w:t>1</w:t>
            </w:r>
            <w:r>
              <w:rPr>
                <w:sz w:val="18"/>
                <w:szCs w:val="18"/>
              </w:rPr>
              <w:t>、</w:t>
            </w:r>
            <w:r>
              <w:rPr>
                <w:rFonts w:hint="eastAsia"/>
                <w:sz w:val="18"/>
                <w:szCs w:val="18"/>
              </w:rPr>
              <w:t>质保期内服务承诺：评标委员会根据投标人免费保修标准、保修范围、检修方式等内容对比评审。在0-2分内打分</w:t>
            </w:r>
          </w:p>
          <w:p>
            <w:pPr>
              <w:keepNext w:val="0"/>
              <w:keepLines w:val="0"/>
              <w:pageBreakBefore w:val="0"/>
              <w:tabs>
                <w:tab w:val="left" w:pos="0"/>
              </w:tabs>
              <w:kinsoku/>
              <w:wordWrap/>
              <w:overflowPunct/>
              <w:topLinePunct w:val="0"/>
              <w:autoSpaceDE/>
              <w:autoSpaceDN/>
              <w:bidi w:val="0"/>
              <w:adjustRightInd/>
              <w:snapToGrid/>
              <w:textAlignment w:val="auto"/>
              <w:rPr>
                <w:sz w:val="18"/>
                <w:szCs w:val="18"/>
              </w:rPr>
            </w:pPr>
            <w:r>
              <w:rPr>
                <w:sz w:val="18"/>
                <w:szCs w:val="18"/>
              </w:rPr>
              <w:t>2、</w:t>
            </w:r>
            <w:r>
              <w:rPr>
                <w:rFonts w:hint="eastAsia"/>
                <w:sz w:val="18"/>
                <w:szCs w:val="18"/>
              </w:rPr>
              <w:t>质保期外服务承诺：评标委员会根据投标人保修费、易损件及备件费用、有偿维修费等内容对比评审。在0-2分内打分</w:t>
            </w:r>
          </w:p>
          <w:p>
            <w:pPr>
              <w:keepNext w:val="0"/>
              <w:keepLines w:val="0"/>
              <w:pageBreakBefore w:val="0"/>
              <w:tabs>
                <w:tab w:val="left" w:pos="0"/>
              </w:tabs>
              <w:kinsoku/>
              <w:wordWrap/>
              <w:overflowPunct/>
              <w:topLinePunct w:val="0"/>
              <w:autoSpaceDE/>
              <w:autoSpaceDN/>
              <w:bidi w:val="0"/>
              <w:adjustRightInd/>
              <w:snapToGrid/>
              <w:textAlignment w:val="auto"/>
              <w:rPr>
                <w:sz w:val="18"/>
                <w:szCs w:val="18"/>
              </w:rPr>
            </w:pPr>
            <w:r>
              <w:rPr>
                <w:rFonts w:hint="eastAsia"/>
                <w:sz w:val="18"/>
                <w:szCs w:val="18"/>
              </w:rPr>
              <w:t>3、公司总部在河南或河南省内工商部门注册有分支机构，河南本地化服务人员数量在20人以上（评标时提供营业执照及当地社保部门出具的投标前1个月的人员社保缴纳证明原件并加盖公章，无原件者不得分）完整提供得</w:t>
            </w:r>
            <w:r>
              <w:rPr>
                <w:sz w:val="18"/>
                <w:szCs w:val="18"/>
              </w:rPr>
              <w:t>4</w:t>
            </w:r>
            <w:r>
              <w:rPr>
                <w:rFonts w:hint="eastAsia"/>
                <w:sz w:val="18"/>
                <w:szCs w:val="18"/>
              </w:rPr>
              <w:t>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falt">
    <w:altName w:val="Calibri"/>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6137"/>
    <w:rsid w:val="000710F9"/>
    <w:rsid w:val="000D3DBF"/>
    <w:rsid w:val="00156C0D"/>
    <w:rsid w:val="001C582E"/>
    <w:rsid w:val="001E32E6"/>
    <w:rsid w:val="00212DC2"/>
    <w:rsid w:val="00265CD1"/>
    <w:rsid w:val="00273DD3"/>
    <w:rsid w:val="0028720E"/>
    <w:rsid w:val="002B7160"/>
    <w:rsid w:val="002B7ED8"/>
    <w:rsid w:val="00306137"/>
    <w:rsid w:val="00311A7F"/>
    <w:rsid w:val="00350B4F"/>
    <w:rsid w:val="003E1B60"/>
    <w:rsid w:val="00620212"/>
    <w:rsid w:val="00621FD5"/>
    <w:rsid w:val="00623331"/>
    <w:rsid w:val="00654D41"/>
    <w:rsid w:val="006B5615"/>
    <w:rsid w:val="00726037"/>
    <w:rsid w:val="007F5901"/>
    <w:rsid w:val="0080049E"/>
    <w:rsid w:val="00901AFF"/>
    <w:rsid w:val="00951A94"/>
    <w:rsid w:val="00A46781"/>
    <w:rsid w:val="00A87F56"/>
    <w:rsid w:val="00AC285A"/>
    <w:rsid w:val="00B50A7B"/>
    <w:rsid w:val="00B76630"/>
    <w:rsid w:val="00B76EEB"/>
    <w:rsid w:val="00BB723F"/>
    <w:rsid w:val="00C22578"/>
    <w:rsid w:val="00C90F45"/>
    <w:rsid w:val="00C9787E"/>
    <w:rsid w:val="00D91ABA"/>
    <w:rsid w:val="00E64933"/>
    <w:rsid w:val="00FD636D"/>
    <w:rsid w:val="00FE07DD"/>
    <w:rsid w:val="00FE5C52"/>
    <w:rsid w:val="076A5A92"/>
    <w:rsid w:val="2E2A6C4C"/>
    <w:rsid w:val="37012252"/>
    <w:rsid w:val="40E330E3"/>
    <w:rsid w:val="445602E6"/>
    <w:rsid w:val="4C495A5A"/>
    <w:rsid w:val="56F810C2"/>
    <w:rsid w:val="7CBE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falt" w:hAnsi="Calibrifalt" w:eastAsia="宋体" w:cs="Calibrifalt"/>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669</Words>
  <Characters>3816</Characters>
  <Lines>31</Lines>
  <Paragraphs>8</Paragraphs>
  <TotalTime>4</TotalTime>
  <ScaleCrop>false</ScaleCrop>
  <LinksUpToDate>false</LinksUpToDate>
  <CharactersWithSpaces>4477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2020-04-16T00:59:00Z</dcterms:created>
  <dc:creator>ZZL</dc:creator>
  <cp:lastModifiedBy>Administrator</cp:lastModifiedBy>
  <dcterms:modified xsi:type="dcterms:W3CDTF">2020-04-26T07:11:48Z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