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采购需求</w:t>
      </w:r>
    </w:p>
    <w:p>
      <w:pPr>
        <w:spacing w:line="360" w:lineRule="auto"/>
        <w:rPr>
          <w:b/>
          <w:bCs/>
        </w:rPr>
      </w:pPr>
      <w:r>
        <w:rPr>
          <w:rFonts w:hint="eastAsia"/>
          <w:b/>
          <w:bCs/>
        </w:rPr>
        <w:t>一、项目要求：</w:t>
      </w:r>
    </w:p>
    <w:p>
      <w:pPr>
        <w:spacing w:line="360" w:lineRule="auto"/>
      </w:pPr>
      <w:r>
        <w:rPr>
          <w:rFonts w:hint="eastAsia"/>
        </w:rPr>
        <w:t>（1）三校区校人行道闸升级改造：原有闸机利旧，需要迁移安装调试。</w:t>
      </w:r>
    </w:p>
    <w:p>
      <w:pPr>
        <w:spacing w:line="360" w:lineRule="auto"/>
      </w:pPr>
      <w:r>
        <w:rPr>
          <w:rFonts w:hint="eastAsia"/>
        </w:rPr>
        <w:t xml:space="preserve">（2）访客预约管理系统实现三校区互联互通，各管理中心可查看三个校区的所有设备并进行管理,访客预约管理系统实现分级管理，校内二级单位被预约教职工在预约平台初审，预约教职工所在二级单位负责审核的工作人员通过预约平台进行中审，以短信形式发送提示审批人员,人行道闸管理部门负责审核的工作人员通过预约平台进行终审，审核通过后预约人员可通行。 </w:t>
      </w:r>
    </w:p>
    <w:p>
      <w:pPr>
        <w:spacing w:line="360" w:lineRule="auto"/>
      </w:pPr>
      <w:r>
        <w:rPr>
          <w:rFonts w:hint="eastAsia"/>
        </w:rPr>
        <w:t>（3）平台兼容性：原有闸机系统利旧，学校原有人行闸机与所投人行闸机平台应无缝对接；学校现有监控平台人脸库与所投人行闸机人脸库应无缝对接；学校车辆闸机</w:t>
      </w:r>
      <w:r>
        <w:rPr>
          <w:rFonts w:hint="eastAsia"/>
          <w:lang w:eastAsia="zh-CN"/>
        </w:rPr>
        <w:t>系统</w:t>
      </w:r>
      <w:r>
        <w:rPr>
          <w:rFonts w:hint="eastAsia"/>
        </w:rPr>
        <w:t>与所投访客线上预约系统平台进无缝对接，实现校外访客人员预约审批后，所申请的车辆牌照信息下传至停车场管理系统，通过停车场设备识别后开闸放行；需出具无缝对接承诺书。</w:t>
      </w:r>
    </w:p>
    <w:p>
      <w:pPr>
        <w:spacing w:line="360" w:lineRule="auto"/>
      </w:pPr>
      <w:r>
        <w:rPr>
          <w:rFonts w:hint="eastAsia"/>
        </w:rPr>
        <w:t>（4）访客预约管理系统使用期间免云平台使用费</w:t>
      </w:r>
      <w:r>
        <w:rPr>
          <w:rFonts w:hint="eastAsia"/>
          <w:lang w:eastAsia="zh-CN"/>
        </w:rPr>
        <w:t>、数据传送费、平台对接费等费用</w:t>
      </w:r>
      <w:r>
        <w:rPr>
          <w:rFonts w:hint="eastAsia"/>
        </w:rPr>
        <w:t>，需出具免费使用承诺书。</w:t>
      </w:r>
    </w:p>
    <w:p>
      <w:pPr>
        <w:pStyle w:val="2"/>
        <w:spacing w:line="360" w:lineRule="auto"/>
        <w:ind w:left="0" w:leftChars="0"/>
        <w:rPr>
          <w:sz w:val="24"/>
        </w:rPr>
      </w:pPr>
      <w:r>
        <w:rPr>
          <w:rFonts w:hint="eastAsia" w:ascii="宋体" w:hAnsi="宋体"/>
          <w:sz w:val="24"/>
        </w:rPr>
        <w:t>（5）</w:t>
      </w:r>
      <w:r>
        <w:rPr>
          <w:rFonts w:hint="eastAsia" w:ascii="宋体" w:hAnsi="宋体"/>
          <w:sz w:val="24"/>
          <w:lang w:bidi="ar"/>
        </w:rPr>
        <w:t>本次采购项目为交钥匙项目，所需的一切设备、材料、费用等，全部包含在投标报价之中，采购人不再追加任何费用，需出具承诺书。</w:t>
      </w:r>
    </w:p>
    <w:p/>
    <w:p>
      <w:pPr>
        <w:pStyle w:val="2"/>
        <w:ind w:left="480"/>
      </w:pPr>
    </w:p>
    <w:p/>
    <w:p/>
    <w:p/>
    <w:p>
      <w:pPr>
        <w:spacing w:line="360" w:lineRule="auto"/>
        <w:rPr>
          <w:b/>
          <w:bCs/>
        </w:rPr>
      </w:pPr>
      <w:r>
        <w:rPr>
          <w:rFonts w:hint="eastAsia"/>
          <w:b/>
          <w:bCs/>
        </w:rPr>
        <w:t>二、河南牧业经济学院安全出入访客管理系统设备清单汇总表</w:t>
      </w:r>
    </w:p>
    <w:p>
      <w:pPr>
        <w:ind w:right="480"/>
        <w:jc w:val="center"/>
        <w:rPr>
          <w:b/>
          <w:bCs/>
          <w:sz w:val="21"/>
          <w:szCs w:val="21"/>
        </w:rPr>
      </w:pPr>
      <w:r>
        <w:rPr>
          <w:rFonts w:hint="eastAsia"/>
          <w:b/>
          <w:sz w:val="18"/>
          <w:szCs w:val="18"/>
        </w:rPr>
        <w:t xml:space="preserve">                                                                                          </w:t>
      </w:r>
    </w:p>
    <w:tbl>
      <w:tblPr>
        <w:tblStyle w:val="7"/>
        <w:tblW w:w="1387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433"/>
        <w:gridCol w:w="1005"/>
        <w:gridCol w:w="8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1"/>
                <w:szCs w:val="21"/>
              </w:rPr>
            </w:pPr>
            <w:r>
              <w:rPr>
                <w:rFonts w:hint="eastAsia"/>
                <w:b/>
                <w:bCs/>
                <w:sz w:val="21"/>
                <w:szCs w:val="21"/>
              </w:rPr>
              <w:t>序号</w:t>
            </w:r>
          </w:p>
        </w:tc>
        <w:tc>
          <w:tcPr>
            <w:tcW w:w="104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1"/>
                <w:szCs w:val="21"/>
              </w:rPr>
            </w:pPr>
            <w:r>
              <w:rPr>
                <w:rFonts w:hint="eastAsia"/>
                <w:b/>
                <w:bCs/>
                <w:sz w:val="21"/>
                <w:szCs w:val="21"/>
              </w:rPr>
              <w:t>设备名称</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1"/>
                <w:szCs w:val="21"/>
              </w:rPr>
            </w:pPr>
            <w:r>
              <w:rPr>
                <w:rFonts w:hint="eastAsia"/>
                <w:b/>
                <w:bCs/>
                <w:sz w:val="21"/>
                <w:szCs w:val="21"/>
              </w:rPr>
              <w:t>单位</w:t>
            </w: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1"/>
                <w:szCs w:val="21"/>
              </w:rPr>
            </w:pPr>
            <w:r>
              <w:rPr>
                <w:rFonts w:hint="eastAsia"/>
                <w:b/>
                <w:bCs/>
                <w:sz w:val="21"/>
                <w:szCs w:val="21"/>
              </w:rPr>
              <w:t>数量</w:t>
            </w: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w:t>
            </w:r>
          </w:p>
        </w:tc>
        <w:tc>
          <w:tcPr>
            <w:tcW w:w="1043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访客预约管理系统</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套</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2</w:t>
            </w:r>
          </w:p>
        </w:tc>
        <w:tc>
          <w:tcPr>
            <w:tcW w:w="1043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人脸识别一体机</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22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3</w:t>
            </w:r>
          </w:p>
        </w:tc>
        <w:tc>
          <w:tcPr>
            <w:tcW w:w="1043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校园出入口人行闸机单机芯左边道</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6</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4</w:t>
            </w:r>
          </w:p>
        </w:tc>
        <w:tc>
          <w:tcPr>
            <w:tcW w:w="1043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校园出入口人行闸机双机芯中间道</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9</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5</w:t>
            </w:r>
          </w:p>
        </w:tc>
        <w:tc>
          <w:tcPr>
            <w:tcW w:w="1043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校园出入口人行闸机单机芯右边道</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6</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6</w:t>
            </w:r>
          </w:p>
        </w:tc>
        <w:tc>
          <w:tcPr>
            <w:tcW w:w="10433"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人工费及辅材（水泥底座、线材、辅材施工、</w:t>
            </w:r>
            <w:r>
              <w:rPr>
                <w:sz w:val="21"/>
                <w:szCs w:val="21"/>
              </w:rPr>
              <w:t>PVC管材、网线、水晶头、</w:t>
            </w:r>
            <w:r>
              <w:rPr>
                <w:rFonts w:hint="eastAsia"/>
                <w:sz w:val="18"/>
                <w:szCs w:val="18"/>
              </w:rPr>
              <w:t>扎</w:t>
            </w:r>
            <w:r>
              <w:rPr>
                <w:sz w:val="21"/>
                <w:szCs w:val="21"/>
              </w:rPr>
              <w:t>带、设备安装、设备调试、主机通讯互连等）</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项</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p>
        </w:tc>
      </w:tr>
    </w:tbl>
    <w:p>
      <w:pPr>
        <w:rPr>
          <w:b/>
          <w:color w:val="000000"/>
        </w:rPr>
      </w:pPr>
      <w:r>
        <w:rPr>
          <w:rFonts w:hint="eastAsia"/>
          <w:b/>
          <w:sz w:val="21"/>
          <w:szCs w:val="21"/>
        </w:rPr>
        <w:t xml:space="preserve">                                                                                                          </w:t>
      </w:r>
    </w:p>
    <w:p>
      <w:pPr>
        <w:tabs>
          <w:tab w:val="left" w:pos="6090"/>
        </w:tabs>
        <w:rPr>
          <w:b/>
          <w:bCs/>
          <w:sz w:val="21"/>
          <w:szCs w:val="21"/>
        </w:rPr>
      </w:pPr>
      <w:r>
        <w:rPr>
          <w:rFonts w:hint="eastAsia"/>
          <w:b/>
          <w:bCs/>
          <w:sz w:val="21"/>
          <w:szCs w:val="21"/>
        </w:rPr>
        <w:t xml:space="preserve"> </w:t>
      </w:r>
    </w:p>
    <w:p/>
    <w:p/>
    <w:p/>
    <w:p/>
    <w:p/>
    <w:p/>
    <w:p/>
    <w:p>
      <w:pPr>
        <w:pStyle w:val="2"/>
        <w:ind w:left="480"/>
      </w:pPr>
    </w:p>
    <w:p/>
    <w:p/>
    <w:p/>
    <w:p/>
    <w:p>
      <w:pPr>
        <w:spacing w:line="360" w:lineRule="auto"/>
        <w:rPr>
          <w:b/>
          <w:bCs/>
        </w:rPr>
      </w:pPr>
      <w:r>
        <w:rPr>
          <w:rFonts w:hint="eastAsia"/>
          <w:b/>
          <w:bCs/>
        </w:rPr>
        <w:t>三、河南牧业经济学院安全出入访客管理系统设备详细参数</w:t>
      </w:r>
    </w:p>
    <w:tbl>
      <w:tblPr>
        <w:tblStyle w:val="7"/>
        <w:tblW w:w="1415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263"/>
        <w:gridCol w:w="1263"/>
        <w:gridCol w:w="9304"/>
        <w:gridCol w:w="827"/>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Times New Roman"/>
                <w:sz w:val="18"/>
                <w:szCs w:val="18"/>
              </w:rPr>
            </w:pPr>
            <w:r>
              <w:rPr>
                <w:rFonts w:hint="eastAsia"/>
                <w:b/>
                <w:bCs/>
                <w:sz w:val="18"/>
                <w:szCs w:val="18"/>
              </w:rPr>
              <w:t>序号</w:t>
            </w:r>
          </w:p>
        </w:tc>
        <w:tc>
          <w:tcPr>
            <w:tcW w:w="126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Times New Roman"/>
                <w:sz w:val="18"/>
                <w:szCs w:val="18"/>
              </w:rPr>
            </w:pPr>
            <w:r>
              <w:rPr>
                <w:rFonts w:hint="eastAsia"/>
                <w:b/>
                <w:bCs/>
                <w:sz w:val="18"/>
                <w:szCs w:val="18"/>
              </w:rPr>
              <w:t>设备名称</w:t>
            </w:r>
          </w:p>
        </w:tc>
        <w:tc>
          <w:tcPr>
            <w:tcW w:w="105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Times New Roman"/>
                <w:sz w:val="18"/>
                <w:szCs w:val="18"/>
              </w:rPr>
            </w:pPr>
            <w:r>
              <w:rPr>
                <w:rFonts w:hint="eastAsia"/>
                <w:b/>
                <w:bCs/>
                <w:sz w:val="18"/>
                <w:szCs w:val="18"/>
              </w:rPr>
              <w:t>规格及详细参数要求</w:t>
            </w:r>
          </w:p>
        </w:tc>
        <w:tc>
          <w:tcPr>
            <w:tcW w:w="8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Times New Roman"/>
                <w:b/>
                <w:bCs/>
                <w:sz w:val="18"/>
                <w:szCs w:val="18"/>
              </w:rPr>
            </w:pPr>
            <w:r>
              <w:rPr>
                <w:rFonts w:hint="eastAsia"/>
                <w:b/>
                <w:bCs/>
                <w:sz w:val="18"/>
                <w:szCs w:val="18"/>
              </w:rPr>
              <w:t>数量</w:t>
            </w:r>
          </w:p>
        </w:tc>
        <w:tc>
          <w:tcPr>
            <w:tcW w:w="8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Times New Roman"/>
                <w:b/>
                <w:bCs/>
                <w:sz w:val="18"/>
                <w:szCs w:val="18"/>
              </w:rPr>
            </w:pPr>
            <w:r>
              <w:rPr>
                <w:rFonts w:hint="eastAsia"/>
                <w:b/>
                <w:bCs/>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682" w:type="dxa"/>
            <w:vMerge w:val="restart"/>
            <w:tcBorders>
              <w:top w:val="single" w:color="000000" w:sz="4" w:space="0"/>
              <w:left w:val="single" w:color="000000" w:sz="4" w:space="0"/>
              <w:right w:val="single" w:color="000000" w:sz="4" w:space="0"/>
            </w:tcBorders>
            <w:vAlign w:val="center"/>
          </w:tcPr>
          <w:p>
            <w:pPr>
              <w:jc w:val="center"/>
              <w:rPr>
                <w:sz w:val="18"/>
                <w:szCs w:val="18"/>
              </w:rPr>
            </w:pPr>
            <w:r>
              <w:rPr>
                <w:rFonts w:hint="eastAsia"/>
                <w:sz w:val="18"/>
                <w:szCs w:val="18"/>
              </w:rPr>
              <w:t>1</w:t>
            </w:r>
          </w:p>
        </w:tc>
        <w:tc>
          <w:tcPr>
            <w:tcW w:w="1263" w:type="dxa"/>
            <w:vMerge w:val="restart"/>
            <w:tcBorders>
              <w:top w:val="single" w:color="000000" w:sz="4" w:space="0"/>
              <w:left w:val="single" w:color="000000" w:sz="4" w:space="0"/>
              <w:right w:val="single" w:color="000000" w:sz="4" w:space="0"/>
            </w:tcBorders>
            <w:vAlign w:val="center"/>
          </w:tcPr>
          <w:p>
            <w:pPr>
              <w:jc w:val="center"/>
              <w:rPr>
                <w:sz w:val="18"/>
                <w:szCs w:val="18"/>
              </w:rPr>
            </w:pPr>
            <w:r>
              <w:rPr>
                <w:rFonts w:hint="eastAsia"/>
                <w:sz w:val="18"/>
                <w:szCs w:val="18"/>
              </w:rPr>
              <w:t>访客预约管理系统</w:t>
            </w:r>
          </w:p>
        </w:tc>
        <w:tc>
          <w:tcPr>
            <w:tcW w:w="1263" w:type="dxa"/>
            <w:tcBorders>
              <w:top w:val="single" w:color="000000" w:sz="4" w:space="0"/>
              <w:left w:val="single" w:color="000000" w:sz="4" w:space="0"/>
              <w:right w:val="single" w:color="000000" w:sz="4" w:space="0"/>
            </w:tcBorders>
            <w:vAlign w:val="center"/>
          </w:tcPr>
          <w:p>
            <w:pPr>
              <w:rPr>
                <w:sz w:val="18"/>
                <w:szCs w:val="18"/>
              </w:rPr>
            </w:pPr>
            <w:r>
              <w:rPr>
                <w:rFonts w:hint="eastAsia"/>
                <w:sz w:val="18"/>
                <w:szCs w:val="18"/>
              </w:rPr>
              <w:t>功能描述</w:t>
            </w:r>
          </w:p>
        </w:tc>
        <w:tc>
          <w:tcPr>
            <w:tcW w:w="9304" w:type="dxa"/>
            <w:tcBorders>
              <w:top w:val="single" w:color="000000" w:sz="4" w:space="0"/>
              <w:left w:val="single" w:color="000000" w:sz="4" w:space="0"/>
              <w:right w:val="single" w:color="000000" w:sz="4" w:space="0"/>
            </w:tcBorders>
            <w:vAlign w:val="center"/>
          </w:tcPr>
          <w:p>
            <w:pPr>
              <w:rPr>
                <w:color w:val="FF0000"/>
                <w:sz w:val="18"/>
                <w:szCs w:val="18"/>
              </w:rPr>
            </w:pPr>
            <w:r>
              <w:rPr>
                <w:sz w:val="18"/>
                <w:szCs w:val="18"/>
              </w:rPr>
              <w:t>★</w:t>
            </w:r>
            <w:r>
              <w:rPr>
                <w:rFonts w:hint="eastAsia"/>
                <w:sz w:val="18"/>
                <w:szCs w:val="18"/>
                <w:lang w:val="en-US" w:eastAsia="zh-CN"/>
              </w:rPr>
              <w:t>1、</w:t>
            </w:r>
            <w:r>
              <w:rPr>
                <w:rFonts w:hint="eastAsia"/>
                <w:sz w:val="18"/>
                <w:szCs w:val="18"/>
              </w:rPr>
              <w:t>访客预约管理系统需</w:t>
            </w:r>
            <w:r>
              <w:rPr>
                <w:sz w:val="18"/>
                <w:szCs w:val="18"/>
              </w:rPr>
              <w:t>支持访客公众号预约，访客机预约，网站预约</w:t>
            </w:r>
            <w:r>
              <w:rPr>
                <w:rFonts w:hint="eastAsia"/>
                <w:sz w:val="18"/>
                <w:szCs w:val="18"/>
              </w:rPr>
              <w:t>，</w:t>
            </w:r>
            <w:r>
              <w:rPr>
                <w:sz w:val="18"/>
                <w:szCs w:val="18"/>
              </w:rPr>
              <w:t>访客模式支持预约模式，邀约模式</w:t>
            </w:r>
            <w:r>
              <w:rPr>
                <w:rFonts w:hint="eastAsia"/>
                <w:sz w:val="18"/>
                <w:szCs w:val="18"/>
              </w:rPr>
              <w:t>，</w:t>
            </w:r>
            <w:r>
              <w:rPr>
                <w:sz w:val="18"/>
                <w:szCs w:val="18"/>
              </w:rPr>
              <w:t>访客支持通道等模块权限控制</w:t>
            </w:r>
            <w:r>
              <w:rPr>
                <w:rFonts w:hint="eastAsia"/>
                <w:sz w:val="18"/>
                <w:szCs w:val="18"/>
              </w:rPr>
              <w:t>，</w:t>
            </w:r>
            <w:r>
              <w:rPr>
                <w:sz w:val="18"/>
                <w:szCs w:val="18"/>
              </w:rPr>
              <w:t>支持第三方对接及扩展</w:t>
            </w:r>
            <w:r>
              <w:rPr>
                <w:rFonts w:hint="eastAsia"/>
                <w:sz w:val="18"/>
                <w:szCs w:val="18"/>
              </w:rPr>
              <w:t>，</w:t>
            </w:r>
            <w:r>
              <w:rPr>
                <w:sz w:val="18"/>
                <w:szCs w:val="18"/>
              </w:rPr>
              <w:t>支持线下访客机</w:t>
            </w:r>
            <w:r>
              <w:rPr>
                <w:color w:val="000000" w:themeColor="text1"/>
                <w:sz w:val="18"/>
                <w:szCs w:val="18"/>
                <w14:textFill>
                  <w14:solidFill>
                    <w14:schemeClr w14:val="tx1"/>
                  </w14:solidFill>
                </w14:textFill>
              </w:rPr>
              <w:t>预约</w:t>
            </w:r>
            <w:r>
              <w:rPr>
                <w:rFonts w:hint="eastAsia"/>
                <w:color w:val="000000" w:themeColor="text1"/>
                <w:sz w:val="18"/>
                <w:szCs w:val="18"/>
                <w14:textFill>
                  <w14:solidFill>
                    <w14:schemeClr w14:val="tx1"/>
                  </w14:solidFill>
                </w14:textFill>
              </w:rPr>
              <w:t>，预约信息需包含填写预约登记项目，如姓名、身份证号码、联系电话、车牌、来访时间、人脸照片等。</w:t>
            </w:r>
          </w:p>
          <w:p>
            <w:pPr>
              <w:rPr>
                <w:sz w:val="18"/>
                <w:szCs w:val="18"/>
              </w:rPr>
            </w:pPr>
            <w:r>
              <w:rPr>
                <w:rFonts w:hint="eastAsia"/>
                <w:sz w:val="18"/>
                <w:szCs w:val="18"/>
                <w:lang w:val="en-US" w:eastAsia="zh-CN"/>
              </w:rPr>
              <w:t>2、</w:t>
            </w:r>
            <w:r>
              <w:rPr>
                <w:sz w:val="18"/>
                <w:szCs w:val="18"/>
              </w:rPr>
              <w:t>多模块设备统一管理：系统有多个功能模块（门禁，车场，消费，通道，考勤，会议签到，会议室管理，访客，梯控），设备采用统一管理，无需多个系统管理，减少操作人员的设备操作，防止设备重复使用，各个模块各司其职，能够协同工作，互不影响，数据单独采集，数据可多模块混用，进行数据整合汇总，分析</w:t>
            </w:r>
            <w:r>
              <w:rPr>
                <w:rFonts w:hint="eastAsia"/>
                <w:sz w:val="18"/>
                <w:szCs w:val="18"/>
              </w:rPr>
              <w:t>。</w:t>
            </w:r>
          </w:p>
          <w:p>
            <w:pPr>
              <w:rPr>
                <w:sz w:val="18"/>
                <w:szCs w:val="18"/>
              </w:rPr>
            </w:pPr>
            <w:r>
              <w:rPr>
                <w:rFonts w:hint="eastAsia"/>
                <w:sz w:val="18"/>
                <w:szCs w:val="18"/>
                <w:lang w:val="en-US" w:eastAsia="zh-CN"/>
              </w:rPr>
              <w:t>3、</w:t>
            </w:r>
            <w:r>
              <w:rPr>
                <w:sz w:val="18"/>
                <w:szCs w:val="18"/>
              </w:rPr>
              <w:t>报表功能：系统自动生成一些固定格式的报表，这些报表的自动生成既迅速又准确。报表建立在实际业务运作的数据基础上，对现有综合业务管理的数据反映，管理者可通过对多种数据进行综合分析，综合报表功能</w:t>
            </w:r>
            <w:r>
              <w:rPr>
                <w:rFonts w:hint="eastAsia"/>
                <w:sz w:val="18"/>
                <w:szCs w:val="18"/>
              </w:rPr>
              <w:t>。</w:t>
            </w:r>
          </w:p>
          <w:p>
            <w:pPr>
              <w:rPr>
                <w:sz w:val="18"/>
                <w:szCs w:val="18"/>
              </w:rPr>
            </w:pPr>
            <w:r>
              <w:rPr>
                <w:rFonts w:hint="eastAsia"/>
                <w:sz w:val="18"/>
                <w:szCs w:val="18"/>
                <w:lang w:val="en-US" w:eastAsia="zh-CN"/>
              </w:rPr>
              <w:t>4、</w:t>
            </w:r>
            <w:r>
              <w:rPr>
                <w:sz w:val="18"/>
                <w:szCs w:val="18"/>
              </w:rPr>
              <w:t>灵活细致的权限管理：独立高效安全可靠的身份认证和权限管理,可以针对各种用户群体制定其相应的使用权限而不是传统的单一的用户管理模式，系统操作权限分为三类：管理员权限、模块权限。管理员权限是指可</w:t>
            </w:r>
            <w:r>
              <w:rPr>
                <w:rFonts w:hint="eastAsia"/>
                <w:sz w:val="18"/>
                <w:szCs w:val="18"/>
              </w:rPr>
              <w:t>设定操作员有权操作的工作站；模块权限是指可设定操作员可操作系统中哪些功能模块。通过对权限的精细化管理，保证系统的安全性。</w:t>
            </w:r>
          </w:p>
          <w:p>
            <w:pPr>
              <w:rPr>
                <w:sz w:val="18"/>
                <w:szCs w:val="18"/>
              </w:rPr>
            </w:pPr>
            <w:r>
              <w:rPr>
                <w:rFonts w:hint="eastAsia"/>
                <w:sz w:val="18"/>
                <w:szCs w:val="18"/>
                <w:lang w:val="en-US" w:eastAsia="zh-CN"/>
              </w:rPr>
              <w:t>5、</w:t>
            </w:r>
            <w:r>
              <w:rPr>
                <w:sz w:val="18"/>
                <w:szCs w:val="18"/>
              </w:rPr>
              <w:t>多种通讯方式结合：设备各种通讯方式相结合，设备可以是 HTTP，TCP/IP，Mqtt 通讯方式，不影响整体的使用。</w:t>
            </w:r>
          </w:p>
          <w:p>
            <w:pPr>
              <w:rPr>
                <w:sz w:val="18"/>
                <w:szCs w:val="18"/>
              </w:rPr>
            </w:pPr>
            <w:r>
              <w:rPr>
                <w:rFonts w:hint="eastAsia"/>
                <w:sz w:val="18"/>
                <w:szCs w:val="18"/>
                <w:lang w:val="en-US" w:eastAsia="zh-CN"/>
              </w:rPr>
              <w:t>6、</w:t>
            </w:r>
            <w:r>
              <w:rPr>
                <w:sz w:val="18"/>
                <w:szCs w:val="18"/>
              </w:rPr>
              <w:t>布署快速：BS 模式的一网通系统布署灵活、简便、快速，不受网络限制</w:t>
            </w:r>
            <w:r>
              <w:rPr>
                <w:rFonts w:hint="eastAsia"/>
                <w:sz w:val="18"/>
                <w:szCs w:val="18"/>
              </w:rPr>
              <w:t>。</w:t>
            </w:r>
          </w:p>
          <w:p>
            <w:pPr>
              <w:rPr>
                <w:sz w:val="18"/>
                <w:szCs w:val="18"/>
              </w:rPr>
            </w:pPr>
            <w:r>
              <w:rPr>
                <w:rFonts w:hint="eastAsia"/>
                <w:sz w:val="18"/>
                <w:szCs w:val="18"/>
                <w:lang w:val="en-US" w:eastAsia="zh-CN"/>
              </w:rPr>
              <w:t>7、</w:t>
            </w:r>
            <w:r>
              <w:rPr>
                <w:sz w:val="18"/>
                <w:szCs w:val="18"/>
              </w:rPr>
              <w:t>升级灵活：对系统进行升级更新时，只需增加脚本即可，而不用重新安装整个程序，简化了升级工作，加快了升级速度</w:t>
            </w:r>
            <w:r>
              <w:rPr>
                <w:rFonts w:hint="eastAsia"/>
                <w:sz w:val="18"/>
                <w:szCs w:val="18"/>
              </w:rPr>
              <w:t>。</w:t>
            </w:r>
          </w:p>
          <w:p>
            <w:pPr>
              <w:rPr>
                <w:sz w:val="18"/>
                <w:szCs w:val="18"/>
              </w:rPr>
            </w:pPr>
            <w:r>
              <w:rPr>
                <w:rFonts w:hint="eastAsia"/>
                <w:sz w:val="18"/>
                <w:szCs w:val="18"/>
                <w:lang w:val="en-US" w:eastAsia="zh-CN"/>
              </w:rPr>
              <w:t>8、</w:t>
            </w:r>
            <w:r>
              <w:rPr>
                <w:sz w:val="18"/>
                <w:szCs w:val="18"/>
              </w:rPr>
              <w:t>日志保存：对操作的功能模块能够详细的记录日志，方便后期管理和排错，快速的解决问题和分析额问题</w:t>
            </w:r>
            <w:r>
              <w:rPr>
                <w:rFonts w:hint="eastAsia"/>
                <w:sz w:val="18"/>
                <w:szCs w:val="18"/>
              </w:rPr>
              <w:t>。</w:t>
            </w:r>
          </w:p>
          <w:p>
            <w:r>
              <w:rPr>
                <w:rFonts w:hint="eastAsia"/>
                <w:sz w:val="18"/>
                <w:szCs w:val="18"/>
                <w:lang w:val="en-US" w:eastAsia="zh-CN"/>
              </w:rPr>
              <w:t>9、</w:t>
            </w:r>
            <w:r>
              <w:rPr>
                <w:sz w:val="18"/>
                <w:szCs w:val="18"/>
              </w:rPr>
              <w:t>跨平台：服务器支持跨平台，不局限于 IE 浏览器，发卡采用服务管理</w:t>
            </w:r>
            <w:r>
              <w:rPr>
                <w:rFonts w:hint="eastAsia"/>
                <w:sz w:val="18"/>
                <w:szCs w:val="18"/>
              </w:rPr>
              <w:t>。</w:t>
            </w:r>
          </w:p>
          <w:p>
            <w:pPr>
              <w:rPr>
                <w:rFonts w:hint="eastAsia"/>
                <w:sz w:val="18"/>
                <w:szCs w:val="18"/>
              </w:rPr>
            </w:pPr>
            <w:r>
              <w:rPr>
                <w:sz w:val="18"/>
                <w:szCs w:val="18"/>
              </w:rPr>
              <w:t>★</w:t>
            </w:r>
            <w:r>
              <w:rPr>
                <w:rFonts w:hint="eastAsia"/>
                <w:sz w:val="18"/>
                <w:szCs w:val="18"/>
                <w:lang w:val="en-US" w:eastAsia="zh-CN"/>
              </w:rPr>
              <w:t>10、</w:t>
            </w:r>
            <w:r>
              <w:rPr>
                <w:sz w:val="18"/>
                <w:szCs w:val="18"/>
              </w:rPr>
              <w:t>要求人员、通行记录、抓拍记录等信息本地保存</w:t>
            </w:r>
            <w:r>
              <w:rPr>
                <w:rFonts w:hint="eastAsia"/>
                <w:sz w:val="18"/>
                <w:szCs w:val="18"/>
              </w:rPr>
              <w:t>。</w:t>
            </w:r>
          </w:p>
          <w:p>
            <w:pPr>
              <w:pStyle w:val="2"/>
              <w:ind w:left="0" w:leftChars="0" w:firstLine="0" w:firstLineChars="0"/>
            </w:pPr>
            <w:r>
              <w:rPr>
                <w:rFonts w:hint="eastAsia" w:ascii="宋体" w:hAnsi="宋体" w:eastAsia="宋体" w:cs="宋体"/>
                <w:sz w:val="18"/>
                <w:szCs w:val="18"/>
                <w:lang w:val="en-US" w:eastAsia="zh-CN" w:bidi="ar-SA"/>
              </w:rPr>
              <w:t>11、提供开放标准开发接口协议或者开发包功能，并对软件平台进行定制化升级,使</w:t>
            </w:r>
            <w:r>
              <w:rPr>
                <w:rFonts w:hint="eastAsia" w:ascii="宋体" w:hAnsi="宋体" w:cs="宋体"/>
                <w:sz w:val="18"/>
                <w:szCs w:val="18"/>
                <w:lang w:val="en-US" w:eastAsia="zh-CN" w:bidi="ar-SA"/>
              </w:rPr>
              <w:t>学校车辆闸机</w:t>
            </w:r>
            <w:r>
              <w:rPr>
                <w:rFonts w:hint="eastAsia" w:ascii="宋体" w:hAnsi="宋体" w:eastAsia="宋体" w:cs="宋体"/>
                <w:sz w:val="18"/>
                <w:szCs w:val="18"/>
                <w:lang w:val="en-US" w:eastAsia="zh-CN" w:bidi="ar-SA"/>
              </w:rPr>
              <w:t>管理系统平台和访客线上预约系统平台进行对接。</w:t>
            </w:r>
          </w:p>
        </w:tc>
        <w:tc>
          <w:tcPr>
            <w:tcW w:w="827" w:type="dxa"/>
            <w:vMerge w:val="restart"/>
            <w:tcBorders>
              <w:top w:val="single" w:color="000000" w:sz="4" w:space="0"/>
              <w:left w:val="single" w:color="000000" w:sz="4" w:space="0"/>
              <w:right w:val="single" w:color="000000" w:sz="4" w:space="0"/>
            </w:tcBorders>
            <w:vAlign w:val="center"/>
          </w:tcPr>
          <w:p>
            <w:pPr>
              <w:jc w:val="center"/>
              <w:rPr>
                <w:sz w:val="18"/>
                <w:szCs w:val="18"/>
              </w:rPr>
            </w:pPr>
            <w:r>
              <w:rPr>
                <w:rFonts w:hint="eastAsia"/>
                <w:sz w:val="18"/>
                <w:szCs w:val="18"/>
              </w:rPr>
              <w:t>1</w:t>
            </w:r>
          </w:p>
        </w:tc>
        <w:tc>
          <w:tcPr>
            <w:tcW w:w="818" w:type="dxa"/>
            <w:vMerge w:val="restart"/>
            <w:tcBorders>
              <w:top w:val="single" w:color="000000" w:sz="4" w:space="0"/>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82" w:type="dxa"/>
            <w:vMerge w:val="continue"/>
            <w:tcBorders>
              <w:top w:val="single" w:color="000000" w:sz="4" w:space="0"/>
              <w:left w:val="single" w:color="000000" w:sz="4" w:space="0"/>
              <w:right w:val="single" w:color="000000" w:sz="4" w:space="0"/>
            </w:tcBorders>
            <w:vAlign w:val="center"/>
          </w:tcPr>
          <w:p>
            <w:pPr>
              <w:jc w:val="center"/>
              <w:rPr>
                <w:sz w:val="18"/>
                <w:szCs w:val="18"/>
              </w:rPr>
            </w:pPr>
          </w:p>
        </w:tc>
        <w:tc>
          <w:tcPr>
            <w:tcW w:w="1263" w:type="dxa"/>
            <w:vMerge w:val="continue"/>
            <w:tcBorders>
              <w:top w:val="single" w:color="000000" w:sz="4" w:space="0"/>
              <w:left w:val="single" w:color="000000" w:sz="4" w:space="0"/>
              <w:right w:val="single" w:color="000000" w:sz="4" w:space="0"/>
            </w:tcBorders>
            <w:vAlign w:val="center"/>
          </w:tcPr>
          <w:p>
            <w:pPr>
              <w:rPr>
                <w:sz w:val="18"/>
                <w:szCs w:val="18"/>
              </w:rPr>
            </w:pPr>
          </w:p>
        </w:tc>
        <w:tc>
          <w:tcPr>
            <w:tcW w:w="1263" w:type="dxa"/>
            <w:vMerge w:val="restart"/>
            <w:tcBorders>
              <w:left w:val="single" w:color="000000" w:sz="4" w:space="0"/>
              <w:right w:val="single" w:color="000000" w:sz="4" w:space="0"/>
            </w:tcBorders>
            <w:vAlign w:val="center"/>
          </w:tcPr>
          <w:p>
            <w:pPr>
              <w:rPr>
                <w:sz w:val="18"/>
                <w:szCs w:val="18"/>
              </w:rPr>
            </w:pPr>
            <w:r>
              <w:rPr>
                <w:rFonts w:hint="eastAsia"/>
                <w:sz w:val="18"/>
                <w:szCs w:val="18"/>
              </w:rPr>
              <w:t>其他</w:t>
            </w:r>
          </w:p>
        </w:tc>
        <w:tc>
          <w:tcPr>
            <w:tcW w:w="9304" w:type="dxa"/>
            <w:tcBorders>
              <w:top w:val="single" w:color="000000" w:sz="4" w:space="0"/>
              <w:left w:val="single" w:color="000000" w:sz="4" w:space="0"/>
              <w:right w:val="single" w:color="000000" w:sz="4" w:space="0"/>
            </w:tcBorders>
            <w:vAlign w:val="center"/>
          </w:tcPr>
          <w:p>
            <w:pPr>
              <w:rPr>
                <w:sz w:val="18"/>
                <w:szCs w:val="18"/>
              </w:rPr>
            </w:pPr>
            <w:r>
              <w:rPr>
                <w:rFonts w:hint="eastAsia"/>
                <w:sz w:val="18"/>
                <w:szCs w:val="18"/>
              </w:rPr>
              <w:t>加★项需提供权威检测机构出具的检测报告证明，加盖原厂公章或投标专用章。</w:t>
            </w:r>
          </w:p>
        </w:tc>
        <w:tc>
          <w:tcPr>
            <w:tcW w:w="827" w:type="dxa"/>
            <w:vMerge w:val="continue"/>
            <w:tcBorders>
              <w:top w:val="single" w:color="000000" w:sz="4" w:space="0"/>
              <w:left w:val="single" w:color="000000" w:sz="4" w:space="0"/>
              <w:right w:val="single" w:color="000000" w:sz="4" w:space="0"/>
            </w:tcBorders>
            <w:vAlign w:val="center"/>
          </w:tcPr>
          <w:p>
            <w:pPr>
              <w:jc w:val="center"/>
              <w:rPr>
                <w:sz w:val="18"/>
                <w:szCs w:val="18"/>
              </w:rPr>
            </w:pPr>
          </w:p>
        </w:tc>
        <w:tc>
          <w:tcPr>
            <w:tcW w:w="818" w:type="dxa"/>
            <w:vMerge w:val="continue"/>
            <w:tcBorders>
              <w:top w:val="single" w:color="000000" w:sz="4" w:space="0"/>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682" w:type="dxa"/>
            <w:vMerge w:val="continue"/>
            <w:tcBorders>
              <w:left w:val="single" w:color="000000" w:sz="4" w:space="0"/>
              <w:right w:val="single" w:color="000000" w:sz="4" w:space="0"/>
            </w:tcBorders>
            <w:vAlign w:val="center"/>
          </w:tcPr>
          <w:p/>
        </w:tc>
        <w:tc>
          <w:tcPr>
            <w:tcW w:w="1263" w:type="dxa"/>
            <w:vMerge w:val="continue"/>
            <w:tcBorders>
              <w:left w:val="single" w:color="000000" w:sz="4" w:space="0"/>
              <w:right w:val="single" w:color="000000" w:sz="4" w:space="0"/>
            </w:tcBorders>
            <w:vAlign w:val="center"/>
          </w:tcPr>
          <w:p/>
        </w:tc>
        <w:tc>
          <w:tcPr>
            <w:tcW w:w="1263" w:type="dxa"/>
            <w:vMerge w:val="continue"/>
            <w:tcBorders>
              <w:left w:val="single" w:color="000000" w:sz="4" w:space="0"/>
              <w:right w:val="single" w:color="000000" w:sz="4" w:space="0"/>
            </w:tcBorders>
            <w:vAlign w:val="center"/>
          </w:tcPr>
          <w:p/>
        </w:tc>
        <w:tc>
          <w:tcPr>
            <w:tcW w:w="9304" w:type="dxa"/>
            <w:tcBorders>
              <w:top w:val="single" w:color="000000" w:sz="4" w:space="0"/>
              <w:left w:val="single" w:color="000000" w:sz="4" w:space="0"/>
              <w:right w:val="single" w:color="000000" w:sz="4" w:space="0"/>
            </w:tcBorders>
            <w:vAlign w:val="center"/>
          </w:tcPr>
          <w:p>
            <w:pPr>
              <w:rPr>
                <w:sz w:val="18"/>
                <w:szCs w:val="18"/>
              </w:rPr>
            </w:pPr>
            <w:r>
              <w:rPr>
                <w:rFonts w:hint="eastAsia"/>
                <w:sz w:val="18"/>
                <w:szCs w:val="18"/>
              </w:rPr>
              <w:t>要求制造厂商出具针对本次项目的专项授权书及售后服务承诺函。</w:t>
            </w:r>
          </w:p>
        </w:tc>
        <w:tc>
          <w:tcPr>
            <w:tcW w:w="827" w:type="dxa"/>
            <w:vMerge w:val="continue"/>
            <w:tcBorders>
              <w:left w:val="single" w:color="000000" w:sz="4" w:space="0"/>
              <w:right w:val="single" w:color="000000" w:sz="4" w:space="0"/>
            </w:tcBorders>
            <w:vAlign w:val="center"/>
          </w:tcPr>
          <w:p>
            <w:pPr>
              <w:rPr>
                <w:sz w:val="18"/>
                <w:szCs w:val="18"/>
              </w:rPr>
            </w:pPr>
          </w:p>
        </w:tc>
        <w:tc>
          <w:tcPr>
            <w:tcW w:w="818" w:type="dxa"/>
            <w:vMerge w:val="continue"/>
            <w:tcBorders>
              <w:left w:val="single" w:color="000000" w:sz="4" w:space="0"/>
              <w:right w:val="single" w:color="000000" w:sz="4" w:space="0"/>
            </w:tcBorders>
            <w:vAlign w:val="center"/>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82" w:type="dxa"/>
            <w:vMerge w:val="restart"/>
            <w:tcBorders>
              <w:top w:val="single" w:color="000000" w:sz="4" w:space="0"/>
              <w:left w:val="single" w:color="000000" w:sz="4" w:space="0"/>
              <w:right w:val="single" w:color="000000" w:sz="4" w:space="0"/>
            </w:tcBorders>
            <w:vAlign w:val="center"/>
          </w:tcPr>
          <w:p>
            <w:pPr>
              <w:jc w:val="center"/>
              <w:rPr>
                <w:sz w:val="18"/>
                <w:szCs w:val="18"/>
              </w:rPr>
            </w:pPr>
            <w:r>
              <w:rPr>
                <w:rFonts w:hint="eastAsia"/>
                <w:sz w:val="18"/>
                <w:szCs w:val="18"/>
              </w:rPr>
              <w:t>2</w:t>
            </w:r>
          </w:p>
        </w:tc>
        <w:tc>
          <w:tcPr>
            <w:tcW w:w="1263" w:type="dxa"/>
            <w:vMerge w:val="restart"/>
            <w:tcBorders>
              <w:top w:val="single" w:color="000000" w:sz="4" w:space="0"/>
              <w:left w:val="single" w:color="000000" w:sz="4" w:space="0"/>
              <w:right w:val="single" w:color="000000" w:sz="4" w:space="0"/>
            </w:tcBorders>
            <w:vAlign w:val="center"/>
          </w:tcPr>
          <w:p>
            <w:pPr>
              <w:ind w:firstLine="2160" w:firstLineChars="1200"/>
              <w:rPr>
                <w:sz w:val="18"/>
                <w:szCs w:val="18"/>
              </w:rPr>
            </w:pPr>
            <w:r>
              <w:rPr>
                <w:rFonts w:hint="eastAsia"/>
                <w:sz w:val="18"/>
                <w:szCs w:val="18"/>
              </w:rPr>
              <w:t xml:space="preserve"> 人脸识别一体机</w:t>
            </w:r>
          </w:p>
        </w:tc>
        <w:tc>
          <w:tcPr>
            <w:tcW w:w="1263" w:type="dxa"/>
            <w:tcBorders>
              <w:left w:val="single" w:color="000000" w:sz="4" w:space="0"/>
              <w:right w:val="single" w:color="000000" w:sz="4" w:space="0"/>
            </w:tcBorders>
            <w:vAlign w:val="center"/>
          </w:tcPr>
          <w:p>
            <w:pPr>
              <w:rPr>
                <w:sz w:val="18"/>
                <w:szCs w:val="18"/>
              </w:rPr>
            </w:pPr>
            <w:r>
              <w:rPr>
                <w:rFonts w:hint="eastAsia"/>
                <w:sz w:val="18"/>
                <w:szCs w:val="18"/>
              </w:rPr>
              <w:t>功能描述</w:t>
            </w:r>
          </w:p>
        </w:tc>
        <w:tc>
          <w:tcPr>
            <w:tcW w:w="9304" w:type="dxa"/>
            <w:tcBorders>
              <w:top w:val="single" w:color="000000" w:sz="4" w:space="0"/>
              <w:left w:val="single" w:color="000000" w:sz="4" w:space="0"/>
              <w:right w:val="single" w:color="000000" w:sz="4" w:space="0"/>
            </w:tcBorders>
            <w:vAlign w:val="center"/>
          </w:tcPr>
          <w:p>
            <w:pPr>
              <w:rPr>
                <w:rFonts w:hint="eastAsia" w:eastAsia="宋体"/>
                <w:sz w:val="18"/>
                <w:szCs w:val="18"/>
                <w:lang w:eastAsia="zh-CN"/>
              </w:rPr>
            </w:pPr>
            <w:r>
              <w:rPr>
                <w:rFonts w:hint="eastAsia"/>
                <w:sz w:val="18"/>
                <w:szCs w:val="18"/>
              </w:rPr>
              <w:t>1、采用不低于7英寸LCD触摸显示屏，屏幕分辨率应为1024×600</w:t>
            </w:r>
            <w:r>
              <w:rPr>
                <w:rFonts w:hint="eastAsia"/>
                <w:sz w:val="18"/>
                <w:szCs w:val="18"/>
                <w:lang w:eastAsia="zh-CN"/>
              </w:rPr>
              <w:t>。</w:t>
            </w:r>
          </w:p>
          <w:p>
            <w:pPr>
              <w:rPr>
                <w:rFonts w:hint="eastAsia" w:eastAsia="宋体"/>
                <w:sz w:val="18"/>
                <w:szCs w:val="18"/>
                <w:lang w:eastAsia="zh-CN"/>
              </w:rPr>
            </w:pPr>
            <w:r>
              <w:rPr>
                <w:rFonts w:hint="eastAsia"/>
                <w:sz w:val="18"/>
                <w:szCs w:val="18"/>
              </w:rPr>
              <w:t>★2、屏幕流明度达到550cd/m²</w:t>
            </w:r>
            <w:r>
              <w:rPr>
                <w:rFonts w:hint="eastAsia"/>
                <w:sz w:val="18"/>
                <w:szCs w:val="18"/>
                <w:lang w:eastAsia="zh-CN"/>
              </w:rPr>
              <w:t>。</w:t>
            </w:r>
          </w:p>
          <w:p>
            <w:pPr>
              <w:rPr>
                <w:sz w:val="18"/>
                <w:szCs w:val="18"/>
              </w:rPr>
            </w:pPr>
            <w:r>
              <w:rPr>
                <w:rFonts w:hint="eastAsia"/>
                <w:sz w:val="18"/>
                <w:szCs w:val="18"/>
              </w:rPr>
              <w:t>★3、应具有1个RS-485 接口，1个RS-232 接口，1个韦根接口，1个USB 接口，4个IO 输入，1个IO 输出，1个门锁控制接口，1个离墙防拆开关，1个3.5mm音频输出接口,1个喇叭扬声器，1个PSAM 卡槽，1个SD 卡槽。</w:t>
            </w:r>
          </w:p>
          <w:p>
            <w:pPr>
              <w:rPr>
                <w:sz w:val="18"/>
                <w:szCs w:val="18"/>
              </w:rPr>
            </w:pPr>
            <w:r>
              <w:rPr>
                <w:rFonts w:hint="eastAsia"/>
                <w:sz w:val="18"/>
                <w:szCs w:val="18"/>
              </w:rPr>
              <w:t xml:space="preserve">★4、应具有双目摄像头，一路为可见光 200 万摄像头，另一路为红外 200 万摄像头。 </w:t>
            </w:r>
          </w:p>
          <w:p>
            <w:pPr>
              <w:rPr>
                <w:sz w:val="18"/>
                <w:szCs w:val="18"/>
              </w:rPr>
            </w:pPr>
            <w:r>
              <w:rPr>
                <w:rFonts w:hint="eastAsia"/>
                <w:sz w:val="18"/>
                <w:szCs w:val="18"/>
              </w:rPr>
              <w:t>5、应能在 Web 端设置设备补偿模式为宽动态。</w:t>
            </w:r>
          </w:p>
          <w:p>
            <w:pPr>
              <w:rPr>
                <w:rFonts w:hint="eastAsia" w:eastAsia="宋体"/>
                <w:sz w:val="18"/>
                <w:szCs w:val="18"/>
                <w:lang w:eastAsia="zh-CN"/>
              </w:rPr>
            </w:pPr>
            <w:r>
              <w:rPr>
                <w:rFonts w:hint="eastAsia"/>
                <w:sz w:val="18"/>
                <w:szCs w:val="18"/>
              </w:rPr>
              <w:t>★6、支持在距离地面 1.4m 安装高度情况下，距离屏幕正前方 0.18m～4m 范围内，应能有效人识别</w:t>
            </w:r>
            <w:r>
              <w:rPr>
                <w:rFonts w:hint="eastAsia"/>
                <w:sz w:val="18"/>
                <w:szCs w:val="18"/>
                <w:lang w:eastAsia="zh-CN"/>
              </w:rPr>
              <w:t>。</w:t>
            </w:r>
          </w:p>
          <w:p>
            <w:pPr>
              <w:rPr>
                <w:sz w:val="18"/>
                <w:szCs w:val="18"/>
              </w:rPr>
            </w:pPr>
            <w:r>
              <w:rPr>
                <w:rFonts w:hint="eastAsia"/>
                <w:sz w:val="18"/>
                <w:szCs w:val="18"/>
              </w:rPr>
              <w:t>7、识别距离最近应≤0.2m。</w:t>
            </w:r>
          </w:p>
          <w:p>
            <w:pPr>
              <w:pStyle w:val="2"/>
              <w:ind w:left="0" w:leftChars="0"/>
              <w:rPr>
                <w:rFonts w:ascii="宋体" w:hAnsi="宋体"/>
                <w:sz w:val="18"/>
                <w:szCs w:val="18"/>
              </w:rPr>
            </w:pPr>
            <w:r>
              <w:rPr>
                <w:rFonts w:hint="eastAsia" w:ascii="宋体" w:hAnsi="宋体"/>
                <w:sz w:val="18"/>
                <w:szCs w:val="18"/>
              </w:rPr>
              <w:t>8、人脸识别准确率：</w:t>
            </w:r>
            <w:r>
              <w:rPr>
                <w:rFonts w:ascii="宋体" w:hAnsi="宋体"/>
                <w:sz w:val="18"/>
                <w:szCs w:val="18"/>
              </w:rPr>
              <w:t>99.90%；人脸识别速度：0.2s；</w:t>
            </w:r>
            <w:r>
              <w:rPr>
                <w:rFonts w:hint="eastAsia" w:ascii="宋体" w:hAnsi="宋体"/>
                <w:sz w:val="18"/>
                <w:szCs w:val="18"/>
              </w:rPr>
              <w:t>用户容量：</w:t>
            </w:r>
            <w:r>
              <w:rPr>
                <w:rFonts w:ascii="宋体" w:hAnsi="宋体"/>
                <w:sz w:val="18"/>
                <w:szCs w:val="18"/>
              </w:rPr>
              <w:t>100000个；人脸容量：100000张；卡片容量：500000张；密码容量：100000个；存储记录数量：300000条；</w:t>
            </w:r>
          </w:p>
          <w:p>
            <w:pPr>
              <w:rPr>
                <w:sz w:val="18"/>
                <w:szCs w:val="18"/>
              </w:rPr>
            </w:pPr>
            <w:r>
              <w:rPr>
                <w:sz w:val="18"/>
                <w:szCs w:val="18"/>
              </w:rPr>
              <w:t>9</w:t>
            </w:r>
            <w:r>
              <w:rPr>
                <w:rFonts w:hint="eastAsia"/>
                <w:sz w:val="18"/>
                <w:szCs w:val="18"/>
              </w:rPr>
              <w:t>、应具有防假体攻击功能。对视频、电子照片、打印照片中的人、3D 人面具应不能进行人识别。</w:t>
            </w:r>
          </w:p>
          <w:p>
            <w:pPr>
              <w:rPr>
                <w:rFonts w:hint="eastAsia" w:eastAsia="宋体"/>
                <w:sz w:val="18"/>
                <w:szCs w:val="18"/>
                <w:lang w:eastAsia="zh-CN"/>
              </w:rPr>
            </w:pPr>
            <w:r>
              <w:rPr>
                <w:sz w:val="18"/>
                <w:szCs w:val="18"/>
              </w:rPr>
              <w:t>10</w:t>
            </w:r>
            <w:r>
              <w:rPr>
                <w:rFonts w:hint="eastAsia"/>
                <w:sz w:val="18"/>
                <w:szCs w:val="18"/>
              </w:rPr>
              <w:t>、应支持人、卡片、二维码、密码单凭证识读</w:t>
            </w:r>
            <w:r>
              <w:rPr>
                <w:rFonts w:hint="eastAsia"/>
                <w:sz w:val="18"/>
                <w:szCs w:val="18"/>
                <w:lang w:eastAsia="zh-CN"/>
              </w:rPr>
              <w:t>。</w:t>
            </w:r>
          </w:p>
          <w:p>
            <w:pPr>
              <w:rPr>
                <w:sz w:val="18"/>
                <w:szCs w:val="18"/>
              </w:rPr>
            </w:pPr>
            <w:r>
              <w:rPr>
                <w:rFonts w:hint="eastAsia"/>
                <w:sz w:val="18"/>
                <w:szCs w:val="18"/>
              </w:rPr>
              <w:t>1</w:t>
            </w:r>
            <w:r>
              <w:rPr>
                <w:sz w:val="18"/>
                <w:szCs w:val="18"/>
              </w:rPr>
              <w:t>1</w:t>
            </w:r>
            <w:r>
              <w:rPr>
                <w:rFonts w:hint="eastAsia"/>
                <w:sz w:val="18"/>
                <w:szCs w:val="18"/>
              </w:rPr>
              <w:t>、应支持在 0.001lux 低照度无可见光补光环境下实现人识别。</w:t>
            </w:r>
          </w:p>
          <w:p>
            <w:pPr>
              <w:rPr>
                <w:sz w:val="18"/>
                <w:szCs w:val="18"/>
              </w:rPr>
            </w:pPr>
            <w:r>
              <w:rPr>
                <w:rFonts w:hint="eastAsia"/>
                <w:sz w:val="18"/>
                <w:szCs w:val="18"/>
              </w:rPr>
              <w:t>★1</w:t>
            </w:r>
            <w:r>
              <w:rPr>
                <w:sz w:val="18"/>
                <w:szCs w:val="18"/>
              </w:rPr>
              <w:t>2</w:t>
            </w:r>
            <w:r>
              <w:rPr>
                <w:rFonts w:hint="eastAsia"/>
                <w:sz w:val="18"/>
                <w:szCs w:val="18"/>
              </w:rPr>
              <w:t>、 应支持管理平台、设备 Web 端视频预览功能； 支持对 NVR 设备进行配置，实现视频监控录像；应支持 H.264、H.265 视频编码设置功能。</w:t>
            </w:r>
          </w:p>
          <w:p>
            <w:pPr>
              <w:rPr>
                <w:rFonts w:hint="eastAsia" w:eastAsia="宋体"/>
                <w:sz w:val="18"/>
                <w:szCs w:val="18"/>
                <w:lang w:eastAsia="zh-CN"/>
              </w:rPr>
            </w:pPr>
            <w:r>
              <w:rPr>
                <w:rFonts w:hint="eastAsia"/>
                <w:sz w:val="18"/>
                <w:szCs w:val="18"/>
              </w:rPr>
              <w:t>1</w:t>
            </w:r>
            <w:r>
              <w:rPr>
                <w:sz w:val="18"/>
                <w:szCs w:val="18"/>
              </w:rPr>
              <w:t>3</w:t>
            </w:r>
            <w:r>
              <w:rPr>
                <w:rFonts w:hint="eastAsia"/>
                <w:sz w:val="18"/>
                <w:szCs w:val="18"/>
              </w:rPr>
              <w:t>、设备应支持最多 6 人同时进行人识别</w:t>
            </w:r>
            <w:r>
              <w:rPr>
                <w:rFonts w:hint="eastAsia"/>
                <w:sz w:val="18"/>
                <w:szCs w:val="18"/>
                <w:lang w:eastAsia="zh-CN"/>
              </w:rPr>
              <w:t>。</w:t>
            </w:r>
          </w:p>
          <w:p>
            <w:pPr>
              <w:rPr>
                <w:sz w:val="18"/>
                <w:szCs w:val="18"/>
              </w:rPr>
            </w:pPr>
            <w:r>
              <w:rPr>
                <w:rFonts w:hint="eastAsia"/>
                <w:sz w:val="18"/>
                <w:szCs w:val="18"/>
              </w:rPr>
              <w:t>★1</w:t>
            </w:r>
            <w:r>
              <w:rPr>
                <w:sz w:val="18"/>
                <w:szCs w:val="18"/>
              </w:rPr>
              <w:t>4</w:t>
            </w:r>
            <w:r>
              <w:rPr>
                <w:rFonts w:hint="eastAsia"/>
                <w:sz w:val="18"/>
                <w:szCs w:val="18"/>
              </w:rPr>
              <w:t>、应支持通过扩展二维码模块识读二维码； 二维码模块应支持自动识读二维码；二维码下模块应带有可见光补光功能； 识读二维码的容量应不小于 512 字节； 应能支持识读电子二维码、纸质二维码。</w:t>
            </w:r>
          </w:p>
          <w:p>
            <w:pPr>
              <w:rPr>
                <w:rFonts w:hint="eastAsia" w:eastAsia="宋体"/>
                <w:sz w:val="18"/>
                <w:szCs w:val="18"/>
                <w:lang w:eastAsia="zh-CN"/>
              </w:rPr>
            </w:pPr>
            <w:r>
              <w:rPr>
                <w:rFonts w:hint="eastAsia"/>
                <w:sz w:val="18"/>
                <w:szCs w:val="18"/>
              </w:rPr>
              <w:t>★1</w:t>
            </w:r>
            <w:r>
              <w:rPr>
                <w:sz w:val="18"/>
                <w:szCs w:val="18"/>
              </w:rPr>
              <w:t>5</w:t>
            </w:r>
            <w:r>
              <w:rPr>
                <w:rFonts w:hint="eastAsia"/>
                <w:sz w:val="18"/>
                <w:szCs w:val="18"/>
              </w:rPr>
              <w:t>、屏幕采用钢化玻璃面板，防破坏能力应满足IK06，结构后壳防破坏能力应满足IK07</w:t>
            </w:r>
            <w:r>
              <w:rPr>
                <w:rFonts w:hint="eastAsia"/>
                <w:sz w:val="18"/>
                <w:szCs w:val="18"/>
                <w:lang w:eastAsia="zh-CN"/>
              </w:rPr>
              <w:t>。</w:t>
            </w:r>
          </w:p>
          <w:p>
            <w:pPr>
              <w:rPr>
                <w:sz w:val="18"/>
                <w:szCs w:val="18"/>
              </w:rPr>
            </w:pPr>
            <w:r>
              <w:rPr>
                <w:rFonts w:hint="eastAsia"/>
                <w:sz w:val="18"/>
                <w:szCs w:val="18"/>
              </w:rPr>
              <w:t>1</w:t>
            </w:r>
            <w:r>
              <w:rPr>
                <w:sz w:val="18"/>
                <w:szCs w:val="18"/>
              </w:rPr>
              <w:t>6</w:t>
            </w:r>
            <w:r>
              <w:rPr>
                <w:rFonts w:hint="eastAsia"/>
                <w:sz w:val="18"/>
                <w:szCs w:val="18"/>
              </w:rPr>
              <w:t>、防护等级不低于IP66。</w:t>
            </w:r>
          </w:p>
        </w:tc>
        <w:tc>
          <w:tcPr>
            <w:tcW w:w="827" w:type="dxa"/>
            <w:vMerge w:val="restart"/>
            <w:tcBorders>
              <w:top w:val="single" w:color="000000" w:sz="4" w:space="0"/>
              <w:left w:val="single" w:color="000000" w:sz="4" w:space="0"/>
              <w:right w:val="single" w:color="000000" w:sz="4" w:space="0"/>
            </w:tcBorders>
            <w:vAlign w:val="center"/>
          </w:tcPr>
          <w:p>
            <w:pPr>
              <w:jc w:val="center"/>
              <w:rPr>
                <w:sz w:val="18"/>
                <w:szCs w:val="18"/>
              </w:rPr>
            </w:pPr>
            <w:r>
              <w:rPr>
                <w:rFonts w:hint="eastAsia"/>
                <w:sz w:val="18"/>
                <w:szCs w:val="18"/>
              </w:rPr>
              <w:t>22</w:t>
            </w:r>
          </w:p>
        </w:tc>
        <w:tc>
          <w:tcPr>
            <w:tcW w:w="818" w:type="dxa"/>
            <w:vMerge w:val="restart"/>
            <w:tcBorders>
              <w:top w:val="single" w:color="000000" w:sz="4" w:space="0"/>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82" w:type="dxa"/>
            <w:vMerge w:val="continue"/>
            <w:tcBorders>
              <w:left w:val="single" w:color="000000" w:sz="4" w:space="0"/>
              <w:right w:val="single" w:color="000000" w:sz="4" w:space="0"/>
            </w:tcBorders>
            <w:vAlign w:val="center"/>
          </w:tcPr>
          <w:p>
            <w:pPr>
              <w:jc w:val="center"/>
              <w:rPr>
                <w:sz w:val="18"/>
                <w:szCs w:val="18"/>
              </w:rPr>
            </w:pPr>
          </w:p>
        </w:tc>
        <w:tc>
          <w:tcPr>
            <w:tcW w:w="1263" w:type="dxa"/>
            <w:vMerge w:val="continue"/>
            <w:tcBorders>
              <w:left w:val="single" w:color="000000" w:sz="4" w:space="0"/>
              <w:right w:val="single" w:color="000000" w:sz="4" w:space="0"/>
            </w:tcBorders>
            <w:vAlign w:val="center"/>
          </w:tcPr>
          <w:p>
            <w:pPr>
              <w:rPr>
                <w:sz w:val="18"/>
                <w:szCs w:val="18"/>
              </w:rPr>
            </w:pPr>
          </w:p>
        </w:tc>
        <w:tc>
          <w:tcPr>
            <w:tcW w:w="1263" w:type="dxa"/>
            <w:vMerge w:val="restart"/>
            <w:tcBorders>
              <w:left w:val="single" w:color="000000" w:sz="4" w:space="0"/>
              <w:right w:val="single" w:color="000000" w:sz="4" w:space="0"/>
            </w:tcBorders>
            <w:vAlign w:val="center"/>
          </w:tcPr>
          <w:p>
            <w:pPr>
              <w:rPr>
                <w:sz w:val="18"/>
                <w:szCs w:val="18"/>
              </w:rPr>
            </w:pPr>
            <w:r>
              <w:rPr>
                <w:rFonts w:hint="eastAsia"/>
                <w:sz w:val="18"/>
                <w:szCs w:val="18"/>
              </w:rPr>
              <w:t>其他</w:t>
            </w:r>
          </w:p>
        </w:tc>
        <w:tc>
          <w:tcPr>
            <w:tcW w:w="9304" w:type="dxa"/>
            <w:tcBorders>
              <w:top w:val="single" w:color="000000" w:sz="4" w:space="0"/>
              <w:left w:val="single" w:color="000000" w:sz="4" w:space="0"/>
              <w:right w:val="single" w:color="000000" w:sz="4" w:space="0"/>
            </w:tcBorders>
            <w:vAlign w:val="center"/>
          </w:tcPr>
          <w:p>
            <w:pPr>
              <w:rPr>
                <w:rFonts w:hint="eastAsia" w:eastAsia="宋体"/>
                <w:sz w:val="18"/>
                <w:szCs w:val="18"/>
                <w:lang w:eastAsia="zh-CN"/>
              </w:rPr>
            </w:pPr>
            <w:r>
              <w:rPr>
                <w:rFonts w:hint="eastAsia"/>
                <w:sz w:val="18"/>
                <w:szCs w:val="18"/>
              </w:rPr>
              <w:t>加★项需提供权威检测机构出具的检测报告证明，加盖原厂公章或投标专用章</w:t>
            </w:r>
            <w:r>
              <w:rPr>
                <w:rFonts w:hint="eastAsia"/>
                <w:sz w:val="18"/>
                <w:szCs w:val="18"/>
                <w:lang w:eastAsia="zh-CN"/>
              </w:rPr>
              <w:t>。</w:t>
            </w:r>
          </w:p>
        </w:tc>
        <w:tc>
          <w:tcPr>
            <w:tcW w:w="827" w:type="dxa"/>
            <w:vMerge w:val="continue"/>
            <w:tcBorders>
              <w:left w:val="single" w:color="000000" w:sz="4" w:space="0"/>
              <w:right w:val="single" w:color="000000" w:sz="4" w:space="0"/>
            </w:tcBorders>
            <w:vAlign w:val="center"/>
          </w:tcPr>
          <w:p>
            <w:pPr>
              <w:jc w:val="center"/>
              <w:rPr>
                <w:sz w:val="18"/>
                <w:szCs w:val="18"/>
              </w:rPr>
            </w:pPr>
          </w:p>
        </w:tc>
        <w:tc>
          <w:tcPr>
            <w:tcW w:w="818" w:type="dxa"/>
            <w:vMerge w:val="continue"/>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82" w:type="dxa"/>
            <w:vMerge w:val="continue"/>
            <w:tcBorders>
              <w:left w:val="single" w:color="000000" w:sz="4" w:space="0"/>
              <w:right w:val="single" w:color="000000" w:sz="4" w:space="0"/>
            </w:tcBorders>
            <w:vAlign w:val="center"/>
          </w:tcPr>
          <w:p>
            <w:pPr>
              <w:jc w:val="center"/>
              <w:rPr>
                <w:sz w:val="18"/>
                <w:szCs w:val="18"/>
              </w:rPr>
            </w:pPr>
          </w:p>
        </w:tc>
        <w:tc>
          <w:tcPr>
            <w:tcW w:w="1263" w:type="dxa"/>
            <w:vMerge w:val="continue"/>
            <w:tcBorders>
              <w:left w:val="single" w:color="000000" w:sz="4" w:space="0"/>
              <w:right w:val="single" w:color="000000" w:sz="4" w:space="0"/>
            </w:tcBorders>
            <w:vAlign w:val="center"/>
          </w:tcPr>
          <w:p>
            <w:pPr>
              <w:rPr>
                <w:sz w:val="18"/>
                <w:szCs w:val="18"/>
              </w:rPr>
            </w:pPr>
          </w:p>
        </w:tc>
        <w:tc>
          <w:tcPr>
            <w:tcW w:w="1263" w:type="dxa"/>
            <w:vMerge w:val="continue"/>
            <w:tcBorders>
              <w:left w:val="single" w:color="000000" w:sz="4" w:space="0"/>
              <w:right w:val="single" w:color="000000" w:sz="4" w:space="0"/>
            </w:tcBorders>
            <w:vAlign w:val="center"/>
          </w:tcPr>
          <w:p>
            <w:pPr>
              <w:rPr>
                <w:sz w:val="18"/>
                <w:szCs w:val="18"/>
              </w:rPr>
            </w:pPr>
          </w:p>
        </w:tc>
        <w:tc>
          <w:tcPr>
            <w:tcW w:w="9304" w:type="dxa"/>
            <w:tcBorders>
              <w:top w:val="single" w:color="000000" w:sz="4" w:space="0"/>
              <w:left w:val="single" w:color="000000" w:sz="4" w:space="0"/>
              <w:right w:val="single" w:color="000000" w:sz="4" w:space="0"/>
            </w:tcBorders>
            <w:vAlign w:val="center"/>
          </w:tcPr>
          <w:p>
            <w:pPr>
              <w:rPr>
                <w:sz w:val="18"/>
                <w:szCs w:val="18"/>
              </w:rPr>
            </w:pPr>
            <w:r>
              <w:rPr>
                <w:rFonts w:hint="eastAsia"/>
                <w:sz w:val="18"/>
                <w:szCs w:val="18"/>
              </w:rPr>
              <w:t>要求制造厂商出具针对本次项目的专项授权书及售后服务承诺函。</w:t>
            </w:r>
          </w:p>
        </w:tc>
        <w:tc>
          <w:tcPr>
            <w:tcW w:w="827" w:type="dxa"/>
            <w:vMerge w:val="continue"/>
            <w:tcBorders>
              <w:left w:val="single" w:color="000000" w:sz="4" w:space="0"/>
              <w:right w:val="single" w:color="000000" w:sz="4" w:space="0"/>
            </w:tcBorders>
            <w:vAlign w:val="center"/>
          </w:tcPr>
          <w:p>
            <w:pPr>
              <w:jc w:val="center"/>
              <w:rPr>
                <w:sz w:val="18"/>
                <w:szCs w:val="18"/>
              </w:rPr>
            </w:pPr>
          </w:p>
        </w:tc>
        <w:tc>
          <w:tcPr>
            <w:tcW w:w="818" w:type="dxa"/>
            <w:vMerge w:val="continue"/>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682" w:type="dxa"/>
            <w:vMerge w:val="restart"/>
            <w:tcBorders>
              <w:left w:val="single" w:color="000000" w:sz="4" w:space="0"/>
              <w:right w:val="single" w:color="000000" w:sz="4" w:space="0"/>
            </w:tcBorders>
            <w:vAlign w:val="center"/>
          </w:tcPr>
          <w:p>
            <w:pPr>
              <w:ind w:firstLine="180" w:firstLineChars="100"/>
              <w:rPr>
                <w:sz w:val="18"/>
                <w:szCs w:val="18"/>
              </w:rPr>
            </w:pPr>
            <w:r>
              <w:rPr>
                <w:rFonts w:hint="eastAsia"/>
                <w:sz w:val="18"/>
                <w:szCs w:val="18"/>
              </w:rPr>
              <w:t>3</w:t>
            </w:r>
          </w:p>
        </w:tc>
        <w:tc>
          <w:tcPr>
            <w:tcW w:w="1263" w:type="dxa"/>
            <w:vMerge w:val="restart"/>
            <w:tcBorders>
              <w:left w:val="single" w:color="000000" w:sz="4" w:space="0"/>
              <w:right w:val="single" w:color="000000" w:sz="4" w:space="0"/>
            </w:tcBorders>
            <w:vAlign w:val="center"/>
          </w:tcPr>
          <w:p>
            <w:pPr>
              <w:jc w:val="center"/>
              <w:rPr>
                <w:sz w:val="18"/>
                <w:szCs w:val="18"/>
              </w:rPr>
            </w:pPr>
            <w:r>
              <w:rPr>
                <w:rFonts w:hint="eastAsia"/>
                <w:sz w:val="18"/>
                <w:szCs w:val="18"/>
              </w:rPr>
              <w:t>校园出入口人行闸机单机芯左边道</w:t>
            </w:r>
          </w:p>
        </w:tc>
        <w:tc>
          <w:tcPr>
            <w:tcW w:w="1263" w:type="dxa"/>
            <w:tcBorders>
              <w:left w:val="single" w:color="000000" w:sz="4" w:space="0"/>
              <w:bottom w:val="single" w:color="auto" w:sz="4" w:space="0"/>
              <w:right w:val="single" w:color="000000" w:sz="4" w:space="0"/>
            </w:tcBorders>
            <w:vAlign w:val="center"/>
          </w:tcPr>
          <w:p>
            <w:pPr>
              <w:rPr>
                <w:sz w:val="18"/>
                <w:szCs w:val="18"/>
              </w:rPr>
            </w:pPr>
            <w:r>
              <w:rPr>
                <w:rFonts w:hint="eastAsia"/>
                <w:sz w:val="18"/>
                <w:szCs w:val="18"/>
              </w:rPr>
              <w:t>功能描述</w:t>
            </w:r>
          </w:p>
        </w:tc>
        <w:tc>
          <w:tcPr>
            <w:tcW w:w="9304" w:type="dxa"/>
            <w:tcBorders>
              <w:top w:val="single" w:color="000000" w:sz="4" w:space="0"/>
              <w:left w:val="single" w:color="000000" w:sz="4" w:space="0"/>
              <w:bottom w:val="single" w:color="000000" w:sz="4" w:space="0"/>
              <w:right w:val="single" w:color="000000" w:sz="4" w:space="0"/>
            </w:tcBorders>
            <w:vAlign w:val="center"/>
          </w:tcPr>
          <w:p>
            <w:pPr>
              <w:rPr>
                <w:rFonts w:hint="eastAsia" w:eastAsia="宋体"/>
                <w:sz w:val="18"/>
                <w:szCs w:val="18"/>
                <w:lang w:eastAsia="zh-CN"/>
              </w:rPr>
            </w:pPr>
            <w:r>
              <w:rPr>
                <w:sz w:val="18"/>
                <w:szCs w:val="18"/>
              </w:rPr>
              <w:t>1、机箱采用国标304不锈钢材质，机箱厚度不低于0.8mm</w:t>
            </w:r>
            <w:r>
              <w:rPr>
                <w:rFonts w:hint="eastAsia"/>
                <w:sz w:val="18"/>
                <w:szCs w:val="18"/>
                <w:lang w:eastAsia="zh-CN"/>
              </w:rPr>
              <w:t>。</w:t>
            </w:r>
          </w:p>
          <w:p>
            <w:pPr>
              <w:rPr>
                <w:rFonts w:hint="eastAsia" w:eastAsia="宋体"/>
                <w:sz w:val="18"/>
                <w:szCs w:val="18"/>
                <w:lang w:eastAsia="zh-CN"/>
              </w:rPr>
            </w:pPr>
            <w:r>
              <w:rPr>
                <w:sz w:val="18"/>
                <w:szCs w:val="18"/>
              </w:rPr>
              <w:t>2、标配不少于4对红外检测</w:t>
            </w:r>
            <w:r>
              <w:rPr>
                <w:rFonts w:hint="eastAsia"/>
                <w:sz w:val="18"/>
                <w:szCs w:val="18"/>
                <w:lang w:eastAsia="zh-CN"/>
              </w:rPr>
              <w:t>。</w:t>
            </w:r>
          </w:p>
          <w:p>
            <w:pPr>
              <w:rPr>
                <w:rFonts w:hint="eastAsia" w:eastAsia="宋体"/>
                <w:sz w:val="18"/>
                <w:szCs w:val="18"/>
                <w:lang w:eastAsia="zh-CN"/>
              </w:rPr>
            </w:pPr>
            <w:r>
              <w:rPr>
                <w:sz w:val="18"/>
                <w:szCs w:val="18"/>
              </w:rPr>
              <w:t>3、采用直流无刷电机</w:t>
            </w:r>
            <w:r>
              <w:rPr>
                <w:rFonts w:hint="eastAsia"/>
                <w:sz w:val="18"/>
                <w:szCs w:val="18"/>
                <w:lang w:eastAsia="zh-CN"/>
              </w:rPr>
              <w:t>。</w:t>
            </w:r>
          </w:p>
          <w:p>
            <w:pPr>
              <w:rPr>
                <w:rFonts w:hint="eastAsia" w:eastAsia="宋体"/>
                <w:sz w:val="18"/>
                <w:szCs w:val="18"/>
                <w:lang w:eastAsia="zh-CN"/>
              </w:rPr>
            </w:pPr>
            <w:r>
              <w:rPr>
                <w:sz w:val="18"/>
                <w:szCs w:val="18"/>
              </w:rPr>
              <w:t>4、支持开门超时自动复位功能</w:t>
            </w:r>
            <w:r>
              <w:rPr>
                <w:rFonts w:hint="eastAsia"/>
                <w:sz w:val="18"/>
                <w:szCs w:val="18"/>
                <w:lang w:eastAsia="zh-CN"/>
              </w:rPr>
              <w:t>。</w:t>
            </w:r>
          </w:p>
          <w:p>
            <w:pPr>
              <w:rPr>
                <w:rFonts w:hint="eastAsia" w:eastAsia="宋体"/>
                <w:sz w:val="18"/>
                <w:szCs w:val="18"/>
                <w:lang w:eastAsia="zh-CN"/>
              </w:rPr>
            </w:pPr>
            <w:r>
              <w:rPr>
                <w:sz w:val="18"/>
                <w:szCs w:val="18"/>
              </w:rPr>
              <w:t>5、支持声光报警提示，支持音量调节</w:t>
            </w:r>
            <w:r>
              <w:rPr>
                <w:rFonts w:hint="eastAsia"/>
                <w:sz w:val="18"/>
                <w:szCs w:val="18"/>
                <w:lang w:eastAsia="zh-CN"/>
              </w:rPr>
              <w:t>。</w:t>
            </w:r>
          </w:p>
          <w:p>
            <w:pPr>
              <w:rPr>
                <w:rFonts w:hint="eastAsia" w:eastAsia="宋体"/>
                <w:sz w:val="18"/>
                <w:szCs w:val="18"/>
                <w:lang w:eastAsia="zh-CN"/>
              </w:rPr>
            </w:pPr>
            <w:r>
              <w:rPr>
                <w:sz w:val="18"/>
                <w:szCs w:val="18"/>
              </w:rPr>
              <w:t>6、通道尺寸支持：600mm-1200mm</w:t>
            </w:r>
            <w:r>
              <w:rPr>
                <w:rFonts w:hint="eastAsia"/>
                <w:sz w:val="18"/>
                <w:szCs w:val="18"/>
                <w:lang w:eastAsia="zh-CN"/>
              </w:rPr>
              <w:t>。</w:t>
            </w:r>
          </w:p>
          <w:p>
            <w:pPr>
              <w:rPr>
                <w:sz w:val="18"/>
                <w:szCs w:val="18"/>
              </w:rPr>
            </w:pPr>
            <w:r>
              <w:rPr>
                <w:sz w:val="18"/>
                <w:szCs w:val="18"/>
              </w:rPr>
              <w:t>7、▲摆臂采用抱箍设计，当外力冲撞关门状态的门翼时，门翼应随抱箍转动，防止机芯被强制转动而损坏</w:t>
            </w:r>
          </w:p>
          <w:p>
            <w:pPr>
              <w:rPr>
                <w:sz w:val="18"/>
                <w:szCs w:val="18"/>
              </w:rPr>
            </w:pPr>
            <w:r>
              <w:rPr>
                <w:sz w:val="18"/>
                <w:szCs w:val="18"/>
              </w:rPr>
              <w:t>8、PCBA主板应有外壳防护罩，起到防水、防尘、防凝霜作用。</w:t>
            </w:r>
          </w:p>
          <w:p>
            <w:pPr>
              <w:rPr>
                <w:sz w:val="18"/>
                <w:szCs w:val="18"/>
              </w:rPr>
            </w:pPr>
            <w:r>
              <w:rPr>
                <w:sz w:val="18"/>
                <w:szCs w:val="18"/>
              </w:rPr>
              <w:t>9、▲支持红外故障，门翼故障，通信故障等核心部件故障自动检测，在红外损坏时，能够指示损坏红外的位置和数量，进行异常语音提示，声光报警以及平台上报。</w:t>
            </w:r>
          </w:p>
          <w:p>
            <w:pPr>
              <w:rPr>
                <w:rFonts w:hint="eastAsia" w:eastAsia="宋体"/>
                <w:sz w:val="18"/>
                <w:szCs w:val="18"/>
                <w:lang w:eastAsia="zh-CN"/>
              </w:rPr>
            </w:pPr>
            <w:r>
              <w:rPr>
                <w:sz w:val="18"/>
                <w:szCs w:val="18"/>
              </w:rPr>
              <w:t>10、平均无故障使用次数（MCBF）大于等于300万次</w:t>
            </w:r>
            <w:r>
              <w:rPr>
                <w:rFonts w:hint="eastAsia"/>
                <w:sz w:val="18"/>
                <w:szCs w:val="18"/>
                <w:lang w:eastAsia="zh-CN"/>
              </w:rPr>
              <w:t>。</w:t>
            </w:r>
          </w:p>
          <w:p>
            <w:pPr>
              <w:rPr>
                <w:rFonts w:hint="eastAsia" w:eastAsia="宋体"/>
                <w:sz w:val="18"/>
                <w:szCs w:val="18"/>
                <w:lang w:eastAsia="zh-CN"/>
              </w:rPr>
            </w:pPr>
            <w:r>
              <w:rPr>
                <w:sz w:val="18"/>
                <w:szCs w:val="18"/>
              </w:rPr>
              <w:t>11、支持消防应急常开功能；支持报警信号输出功能</w:t>
            </w:r>
            <w:r>
              <w:rPr>
                <w:rFonts w:hint="eastAsia"/>
                <w:sz w:val="18"/>
                <w:szCs w:val="18"/>
                <w:lang w:eastAsia="zh-CN"/>
              </w:rPr>
              <w:t>。</w:t>
            </w:r>
          </w:p>
          <w:p>
            <w:pPr>
              <w:rPr>
                <w:rFonts w:hint="eastAsia" w:eastAsia="宋体"/>
                <w:sz w:val="18"/>
                <w:szCs w:val="18"/>
                <w:lang w:eastAsia="zh-CN"/>
              </w:rPr>
            </w:pPr>
            <w:r>
              <w:rPr>
                <w:sz w:val="18"/>
                <w:szCs w:val="18"/>
              </w:rPr>
              <w:t>12、支持机械防夹、红外防夹功能</w:t>
            </w:r>
            <w:r>
              <w:rPr>
                <w:rFonts w:hint="eastAsia"/>
                <w:sz w:val="18"/>
                <w:szCs w:val="18"/>
                <w:lang w:eastAsia="zh-CN"/>
              </w:rPr>
              <w:t>。</w:t>
            </w:r>
          </w:p>
          <w:p>
            <w:pPr>
              <w:rPr>
                <w:rFonts w:hint="eastAsia" w:eastAsia="宋体"/>
                <w:sz w:val="18"/>
                <w:szCs w:val="18"/>
                <w:lang w:eastAsia="zh-CN"/>
              </w:rPr>
            </w:pPr>
            <w:r>
              <w:rPr>
                <w:sz w:val="18"/>
                <w:szCs w:val="18"/>
              </w:rPr>
              <w:t>13、支持防冲撞功能</w:t>
            </w:r>
            <w:r>
              <w:rPr>
                <w:rFonts w:hint="eastAsia"/>
                <w:sz w:val="18"/>
                <w:szCs w:val="18"/>
                <w:lang w:eastAsia="zh-CN"/>
              </w:rPr>
              <w:t>。</w:t>
            </w:r>
          </w:p>
          <w:p>
            <w:pPr>
              <w:rPr>
                <w:rFonts w:hint="eastAsia" w:eastAsia="宋体"/>
                <w:sz w:val="18"/>
                <w:szCs w:val="18"/>
                <w:lang w:eastAsia="zh-CN"/>
              </w:rPr>
            </w:pPr>
            <w:r>
              <w:rPr>
                <w:sz w:val="18"/>
                <w:szCs w:val="18"/>
              </w:rPr>
              <w:t>14、支持三种安全等级设置，适用不同安全级别的场景</w:t>
            </w:r>
            <w:r>
              <w:rPr>
                <w:rFonts w:hint="eastAsia"/>
                <w:sz w:val="18"/>
                <w:szCs w:val="18"/>
                <w:lang w:eastAsia="zh-CN"/>
              </w:rPr>
              <w:t>。</w:t>
            </w:r>
          </w:p>
          <w:p>
            <w:pPr>
              <w:rPr>
                <w:rFonts w:hint="eastAsia" w:eastAsia="宋体"/>
                <w:sz w:val="18"/>
                <w:szCs w:val="18"/>
                <w:lang w:eastAsia="zh-CN"/>
              </w:rPr>
            </w:pPr>
            <w:r>
              <w:rPr>
                <w:sz w:val="18"/>
                <w:szCs w:val="18"/>
              </w:rPr>
              <w:t>15、▲设备应支持读卡器（IC卡，ID卡）、二维码、人脸识别组件、身份证识别组件、遥控器等设备集成，实现多种认证方式组合应用</w:t>
            </w:r>
            <w:r>
              <w:rPr>
                <w:rFonts w:hint="eastAsia"/>
                <w:sz w:val="18"/>
                <w:szCs w:val="18"/>
                <w:lang w:eastAsia="zh-CN"/>
              </w:rPr>
              <w:t>。</w:t>
            </w:r>
          </w:p>
          <w:p>
            <w:pPr>
              <w:rPr>
                <w:rFonts w:hint="eastAsia" w:eastAsia="宋体"/>
                <w:sz w:val="18"/>
                <w:szCs w:val="18"/>
                <w:lang w:eastAsia="zh-CN"/>
              </w:rPr>
            </w:pPr>
            <w:r>
              <w:rPr>
                <w:sz w:val="18"/>
                <w:szCs w:val="18"/>
              </w:rPr>
              <w:t>16、支持九种通行模式组合：授权通行、禁止通行、自由通行等组合</w:t>
            </w:r>
            <w:r>
              <w:rPr>
                <w:rFonts w:hint="eastAsia"/>
                <w:sz w:val="18"/>
                <w:szCs w:val="18"/>
                <w:lang w:eastAsia="zh-CN"/>
              </w:rPr>
              <w:t>。</w:t>
            </w:r>
          </w:p>
          <w:p>
            <w:pPr>
              <w:rPr>
                <w:rFonts w:hint="eastAsia" w:eastAsia="宋体"/>
                <w:sz w:val="18"/>
                <w:szCs w:val="18"/>
                <w:lang w:eastAsia="zh-CN"/>
              </w:rPr>
            </w:pPr>
            <w:r>
              <w:rPr>
                <w:sz w:val="18"/>
                <w:szCs w:val="18"/>
              </w:rPr>
              <w:t>17、支持开关门速度调节；支持通行时间设置；支持延时关闸时间设置</w:t>
            </w:r>
            <w:r>
              <w:rPr>
                <w:rFonts w:hint="eastAsia"/>
                <w:sz w:val="18"/>
                <w:szCs w:val="18"/>
                <w:lang w:eastAsia="zh-CN"/>
              </w:rPr>
              <w:t>。</w:t>
            </w:r>
            <w:bookmarkStart w:id="0" w:name="_GoBack"/>
            <w:bookmarkEnd w:id="0"/>
          </w:p>
          <w:p>
            <w:pPr>
              <w:rPr>
                <w:rFonts w:hint="eastAsia" w:eastAsia="宋体"/>
                <w:sz w:val="18"/>
                <w:szCs w:val="18"/>
                <w:lang w:eastAsia="zh-CN"/>
              </w:rPr>
            </w:pPr>
            <w:r>
              <w:rPr>
                <w:sz w:val="18"/>
                <w:szCs w:val="18"/>
              </w:rPr>
              <w:t>18、▲支持外接遥控器实现开闸、出向开闸、一键常开、消防常开功能控制</w:t>
            </w:r>
            <w:r>
              <w:rPr>
                <w:rFonts w:hint="eastAsia"/>
                <w:sz w:val="18"/>
                <w:szCs w:val="18"/>
                <w:lang w:eastAsia="zh-CN"/>
              </w:rPr>
              <w:t>。</w:t>
            </w:r>
          </w:p>
          <w:p>
            <w:pPr>
              <w:rPr>
                <w:rFonts w:hint="eastAsia" w:eastAsia="宋体"/>
                <w:sz w:val="18"/>
                <w:szCs w:val="18"/>
                <w:lang w:eastAsia="zh-CN"/>
              </w:rPr>
            </w:pPr>
            <w:r>
              <w:rPr>
                <w:sz w:val="18"/>
                <w:szCs w:val="18"/>
              </w:rPr>
              <w:t>19、支持二次开启功能，人员在通道内可以授权</w:t>
            </w:r>
            <w:r>
              <w:rPr>
                <w:rFonts w:hint="eastAsia"/>
                <w:sz w:val="18"/>
                <w:szCs w:val="18"/>
                <w:lang w:eastAsia="zh-CN"/>
              </w:rPr>
              <w:t>。</w:t>
            </w:r>
          </w:p>
          <w:p>
            <w:pPr>
              <w:rPr>
                <w:rFonts w:hint="eastAsia" w:eastAsia="宋体"/>
                <w:sz w:val="18"/>
                <w:szCs w:val="18"/>
                <w:lang w:eastAsia="zh-CN"/>
              </w:rPr>
            </w:pPr>
            <w:r>
              <w:rPr>
                <w:sz w:val="18"/>
                <w:szCs w:val="18"/>
              </w:rPr>
              <w:t>20、支持出入口记忆功能，可以连续授权过人</w:t>
            </w:r>
            <w:r>
              <w:rPr>
                <w:rFonts w:hint="eastAsia"/>
                <w:sz w:val="18"/>
                <w:szCs w:val="18"/>
                <w:lang w:eastAsia="zh-CN"/>
              </w:rPr>
              <w:t>。</w:t>
            </w:r>
          </w:p>
          <w:p>
            <w:pPr>
              <w:rPr>
                <w:rFonts w:hint="eastAsia" w:eastAsia="宋体"/>
                <w:sz w:val="18"/>
                <w:szCs w:val="18"/>
                <w:lang w:eastAsia="zh-CN"/>
              </w:rPr>
            </w:pPr>
            <w:r>
              <w:rPr>
                <w:sz w:val="18"/>
                <w:szCs w:val="18"/>
              </w:rPr>
              <w:t>21、支持人数统计</w:t>
            </w:r>
            <w:r>
              <w:rPr>
                <w:rFonts w:hint="eastAsia"/>
                <w:sz w:val="18"/>
                <w:szCs w:val="18"/>
                <w:lang w:eastAsia="zh-CN"/>
              </w:rPr>
              <w:t>。</w:t>
            </w:r>
          </w:p>
          <w:p>
            <w:pPr>
              <w:rPr>
                <w:sz w:val="18"/>
                <w:szCs w:val="18"/>
              </w:rPr>
            </w:pPr>
            <w:r>
              <w:rPr>
                <w:sz w:val="18"/>
                <w:szCs w:val="18"/>
              </w:rPr>
              <w:t>22、▲支持LED 灯显示通道状态，具有红色（禁止通行）、绿色（授权可通行）、蓝色（待机）三色灯显示状态。</w:t>
            </w:r>
          </w:p>
          <w:p>
            <w:pPr>
              <w:rPr>
                <w:rFonts w:hint="eastAsia" w:eastAsia="宋体"/>
                <w:sz w:val="18"/>
                <w:szCs w:val="18"/>
                <w:lang w:eastAsia="zh-CN"/>
              </w:rPr>
            </w:pPr>
            <w:r>
              <w:rPr>
                <w:sz w:val="18"/>
                <w:szCs w:val="18"/>
              </w:rPr>
              <w:t>23、支持非法闯入、尾随、反向闯入、滞留、异常开门、非法翻越、门翼故障、红外异常等声光报警提示</w:t>
            </w:r>
            <w:r>
              <w:rPr>
                <w:rFonts w:hint="eastAsia"/>
                <w:sz w:val="18"/>
                <w:szCs w:val="18"/>
                <w:lang w:eastAsia="zh-CN"/>
              </w:rPr>
              <w:t>。</w:t>
            </w:r>
          </w:p>
          <w:p>
            <w:pPr>
              <w:rPr>
                <w:rFonts w:hint="eastAsia" w:eastAsia="宋体"/>
                <w:sz w:val="18"/>
                <w:szCs w:val="18"/>
                <w:lang w:eastAsia="zh-CN"/>
              </w:rPr>
            </w:pPr>
            <w:r>
              <w:rPr>
                <w:sz w:val="18"/>
                <w:szCs w:val="18"/>
              </w:rPr>
              <w:t>24、▲内置“空开漏保”安全保护装置</w:t>
            </w:r>
            <w:r>
              <w:rPr>
                <w:rFonts w:hint="eastAsia"/>
                <w:sz w:val="18"/>
                <w:szCs w:val="18"/>
                <w:lang w:eastAsia="zh-CN"/>
              </w:rPr>
              <w:t>。</w:t>
            </w:r>
          </w:p>
          <w:p>
            <w:pPr>
              <w:rPr>
                <w:sz w:val="18"/>
                <w:szCs w:val="18"/>
              </w:rPr>
            </w:pPr>
            <w:r>
              <w:rPr>
                <w:sz w:val="18"/>
                <w:szCs w:val="18"/>
              </w:rPr>
              <w:t>25、支持最大浸水深度≥830mm。</w:t>
            </w:r>
          </w:p>
          <w:p>
            <w:pPr>
              <w:rPr>
                <w:rFonts w:hint="eastAsia" w:eastAsia="宋体"/>
                <w:sz w:val="18"/>
                <w:szCs w:val="18"/>
                <w:lang w:eastAsia="zh-CN"/>
              </w:rPr>
            </w:pPr>
            <w:r>
              <w:rPr>
                <w:sz w:val="18"/>
                <w:szCs w:val="18"/>
              </w:rPr>
              <w:t>26、外壳防护等级试验：IPX4</w:t>
            </w:r>
            <w:r>
              <w:rPr>
                <w:rFonts w:hint="eastAsia"/>
                <w:sz w:val="18"/>
                <w:szCs w:val="18"/>
                <w:lang w:eastAsia="zh-CN"/>
              </w:rPr>
              <w:t>。</w:t>
            </w:r>
          </w:p>
          <w:p>
            <w:pPr>
              <w:rPr>
                <w:rFonts w:hint="eastAsia" w:eastAsia="宋体"/>
                <w:sz w:val="18"/>
                <w:szCs w:val="18"/>
                <w:lang w:eastAsia="zh-CN"/>
              </w:rPr>
            </w:pPr>
            <w:r>
              <w:rPr>
                <w:rFonts w:hint="eastAsia"/>
                <w:sz w:val="18"/>
                <w:szCs w:val="18"/>
              </w:rPr>
              <w:t>加“▲”需提供权威检测机构检测报告复印件并加盖厂商公章</w:t>
            </w:r>
            <w:r>
              <w:rPr>
                <w:rFonts w:hint="eastAsia"/>
                <w:sz w:val="18"/>
                <w:szCs w:val="18"/>
                <w:lang w:eastAsia="zh-CN"/>
              </w:rPr>
              <w:t>。</w:t>
            </w:r>
          </w:p>
        </w:tc>
        <w:tc>
          <w:tcPr>
            <w:tcW w:w="827" w:type="dxa"/>
            <w:vMerge w:val="restart"/>
            <w:tcBorders>
              <w:left w:val="single" w:color="000000" w:sz="4" w:space="0"/>
              <w:right w:val="single" w:color="000000" w:sz="4" w:space="0"/>
            </w:tcBorders>
            <w:vAlign w:val="center"/>
          </w:tcPr>
          <w:p>
            <w:pPr>
              <w:jc w:val="center"/>
              <w:rPr>
                <w:rFonts w:cs="Times New Roman"/>
                <w:sz w:val="18"/>
                <w:szCs w:val="18"/>
              </w:rPr>
            </w:pPr>
            <w:r>
              <w:rPr>
                <w:rFonts w:hint="eastAsia" w:cs="Times New Roman"/>
                <w:sz w:val="18"/>
                <w:szCs w:val="18"/>
              </w:rPr>
              <w:t>6</w:t>
            </w:r>
          </w:p>
        </w:tc>
        <w:tc>
          <w:tcPr>
            <w:tcW w:w="818" w:type="dxa"/>
            <w:vMerge w:val="restart"/>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682" w:type="dxa"/>
            <w:vMerge w:val="continue"/>
            <w:tcBorders>
              <w:left w:val="single" w:color="000000" w:sz="4" w:space="0"/>
              <w:right w:val="single" w:color="000000" w:sz="4" w:space="0"/>
            </w:tcBorders>
            <w:vAlign w:val="center"/>
          </w:tcPr>
          <w:p>
            <w:pPr>
              <w:jc w:val="center"/>
              <w:rPr>
                <w:sz w:val="18"/>
                <w:szCs w:val="18"/>
              </w:rPr>
            </w:pPr>
          </w:p>
        </w:tc>
        <w:tc>
          <w:tcPr>
            <w:tcW w:w="1263" w:type="dxa"/>
            <w:vMerge w:val="continue"/>
            <w:tcBorders>
              <w:left w:val="single" w:color="000000" w:sz="4" w:space="0"/>
              <w:right w:val="single" w:color="000000" w:sz="4" w:space="0"/>
            </w:tcBorders>
            <w:vAlign w:val="center"/>
          </w:tcPr>
          <w:p>
            <w:pPr>
              <w:rPr>
                <w:sz w:val="18"/>
                <w:szCs w:val="18"/>
              </w:rPr>
            </w:pPr>
          </w:p>
        </w:tc>
        <w:tc>
          <w:tcPr>
            <w:tcW w:w="1263" w:type="dxa"/>
            <w:tcBorders>
              <w:top w:val="single" w:color="auto" w:sz="4" w:space="0"/>
              <w:left w:val="single" w:color="000000" w:sz="4" w:space="0"/>
              <w:right w:val="single" w:color="000000" w:sz="4" w:space="0"/>
            </w:tcBorders>
            <w:vAlign w:val="center"/>
          </w:tcPr>
          <w:p>
            <w:pPr>
              <w:rPr>
                <w:sz w:val="18"/>
                <w:szCs w:val="18"/>
              </w:rPr>
            </w:pPr>
            <w:r>
              <w:rPr>
                <w:rFonts w:hint="eastAsia"/>
                <w:sz w:val="18"/>
                <w:szCs w:val="18"/>
              </w:rPr>
              <w:t>其他</w:t>
            </w:r>
          </w:p>
        </w:tc>
        <w:tc>
          <w:tcPr>
            <w:tcW w:w="930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要求制造厂商出具针对本次项目的专项授权书及售后服务承诺函。</w:t>
            </w:r>
          </w:p>
        </w:tc>
        <w:tc>
          <w:tcPr>
            <w:tcW w:w="827" w:type="dxa"/>
            <w:vMerge w:val="continue"/>
            <w:tcBorders>
              <w:left w:val="single" w:color="000000" w:sz="4" w:space="0"/>
              <w:right w:val="single" w:color="000000" w:sz="4" w:space="0"/>
            </w:tcBorders>
            <w:vAlign w:val="center"/>
          </w:tcPr>
          <w:p>
            <w:pPr>
              <w:jc w:val="center"/>
              <w:rPr>
                <w:rFonts w:cs="Times New Roman"/>
                <w:sz w:val="18"/>
                <w:szCs w:val="18"/>
              </w:rPr>
            </w:pPr>
          </w:p>
        </w:tc>
        <w:tc>
          <w:tcPr>
            <w:tcW w:w="818" w:type="dxa"/>
            <w:vMerge w:val="continue"/>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682" w:type="dxa"/>
            <w:vMerge w:val="restart"/>
            <w:tcBorders>
              <w:left w:val="single" w:color="000000" w:sz="4" w:space="0"/>
              <w:right w:val="single" w:color="000000" w:sz="4" w:space="0"/>
            </w:tcBorders>
            <w:vAlign w:val="center"/>
          </w:tcPr>
          <w:p>
            <w:pPr>
              <w:jc w:val="center"/>
              <w:rPr>
                <w:sz w:val="18"/>
                <w:szCs w:val="18"/>
              </w:rPr>
            </w:pPr>
            <w:r>
              <w:rPr>
                <w:rFonts w:hint="eastAsia"/>
                <w:sz w:val="18"/>
                <w:szCs w:val="18"/>
              </w:rPr>
              <w:t>4</w:t>
            </w:r>
          </w:p>
        </w:tc>
        <w:tc>
          <w:tcPr>
            <w:tcW w:w="1263" w:type="dxa"/>
            <w:vMerge w:val="restart"/>
            <w:tcBorders>
              <w:left w:val="single" w:color="000000" w:sz="4" w:space="0"/>
              <w:right w:val="single" w:color="000000" w:sz="4" w:space="0"/>
            </w:tcBorders>
            <w:vAlign w:val="center"/>
          </w:tcPr>
          <w:p>
            <w:pPr>
              <w:jc w:val="center"/>
              <w:rPr>
                <w:sz w:val="18"/>
                <w:szCs w:val="18"/>
              </w:rPr>
            </w:pPr>
            <w:r>
              <w:rPr>
                <w:rFonts w:hint="eastAsia"/>
                <w:sz w:val="18"/>
                <w:szCs w:val="18"/>
              </w:rPr>
              <w:t>校园出入口人行闸机双机芯中间道</w:t>
            </w:r>
          </w:p>
        </w:tc>
        <w:tc>
          <w:tcPr>
            <w:tcW w:w="1263" w:type="dxa"/>
            <w:tcBorders>
              <w:left w:val="single" w:color="000000" w:sz="4" w:space="0"/>
              <w:bottom w:val="single" w:color="auto" w:sz="4" w:space="0"/>
              <w:right w:val="single" w:color="000000" w:sz="4" w:space="0"/>
            </w:tcBorders>
            <w:vAlign w:val="center"/>
          </w:tcPr>
          <w:p>
            <w:pPr>
              <w:rPr>
                <w:sz w:val="18"/>
                <w:szCs w:val="18"/>
              </w:rPr>
            </w:pPr>
            <w:r>
              <w:rPr>
                <w:rFonts w:hint="eastAsia"/>
                <w:sz w:val="18"/>
                <w:szCs w:val="18"/>
              </w:rPr>
              <w:t>功能描述</w:t>
            </w:r>
          </w:p>
        </w:tc>
        <w:tc>
          <w:tcPr>
            <w:tcW w:w="9304" w:type="dxa"/>
            <w:tcBorders>
              <w:top w:val="single" w:color="000000" w:sz="4" w:space="0"/>
              <w:left w:val="single" w:color="000000" w:sz="4" w:space="0"/>
              <w:bottom w:val="single" w:color="000000" w:sz="4" w:space="0"/>
              <w:right w:val="single" w:color="000000" w:sz="4" w:space="0"/>
            </w:tcBorders>
            <w:vAlign w:val="center"/>
          </w:tcPr>
          <w:p>
            <w:pPr>
              <w:rPr>
                <w:rFonts w:hint="eastAsia" w:eastAsia="宋体"/>
                <w:sz w:val="18"/>
                <w:szCs w:val="18"/>
                <w:lang w:eastAsia="zh-CN"/>
              </w:rPr>
            </w:pPr>
            <w:r>
              <w:rPr>
                <w:sz w:val="18"/>
                <w:szCs w:val="18"/>
              </w:rPr>
              <w:t>1、机箱采用国标304不锈钢材质，机箱厚度不低于0.8mm</w:t>
            </w:r>
            <w:r>
              <w:rPr>
                <w:rFonts w:hint="eastAsia"/>
                <w:sz w:val="18"/>
                <w:szCs w:val="18"/>
                <w:lang w:eastAsia="zh-CN"/>
              </w:rPr>
              <w:t>。</w:t>
            </w:r>
          </w:p>
          <w:p>
            <w:pPr>
              <w:rPr>
                <w:rFonts w:hint="eastAsia" w:eastAsia="宋体"/>
                <w:sz w:val="18"/>
                <w:szCs w:val="18"/>
                <w:lang w:eastAsia="zh-CN"/>
              </w:rPr>
            </w:pPr>
            <w:r>
              <w:rPr>
                <w:sz w:val="18"/>
                <w:szCs w:val="18"/>
              </w:rPr>
              <w:t>2、标配不少于4对红外检测</w:t>
            </w:r>
            <w:r>
              <w:rPr>
                <w:rFonts w:hint="eastAsia"/>
                <w:sz w:val="18"/>
                <w:szCs w:val="18"/>
                <w:lang w:eastAsia="zh-CN"/>
              </w:rPr>
              <w:t>。</w:t>
            </w:r>
          </w:p>
          <w:p>
            <w:pPr>
              <w:rPr>
                <w:rFonts w:hint="eastAsia" w:eastAsia="宋体"/>
                <w:sz w:val="18"/>
                <w:szCs w:val="18"/>
                <w:lang w:eastAsia="zh-CN"/>
              </w:rPr>
            </w:pPr>
            <w:r>
              <w:rPr>
                <w:sz w:val="18"/>
                <w:szCs w:val="18"/>
              </w:rPr>
              <w:t>3、采用直流无刷电机</w:t>
            </w:r>
            <w:r>
              <w:rPr>
                <w:rFonts w:hint="eastAsia"/>
                <w:sz w:val="18"/>
                <w:szCs w:val="18"/>
                <w:lang w:eastAsia="zh-CN"/>
              </w:rPr>
              <w:t>。</w:t>
            </w:r>
          </w:p>
          <w:p>
            <w:pPr>
              <w:rPr>
                <w:rFonts w:hint="eastAsia" w:eastAsia="宋体"/>
                <w:sz w:val="18"/>
                <w:szCs w:val="18"/>
                <w:lang w:eastAsia="zh-CN"/>
              </w:rPr>
            </w:pPr>
            <w:r>
              <w:rPr>
                <w:sz w:val="18"/>
                <w:szCs w:val="18"/>
              </w:rPr>
              <w:t>4、支持开门超时自动复位功能</w:t>
            </w:r>
            <w:r>
              <w:rPr>
                <w:rFonts w:hint="eastAsia"/>
                <w:sz w:val="18"/>
                <w:szCs w:val="18"/>
                <w:lang w:eastAsia="zh-CN"/>
              </w:rPr>
              <w:t>。</w:t>
            </w:r>
          </w:p>
          <w:p>
            <w:pPr>
              <w:rPr>
                <w:rFonts w:hint="eastAsia" w:eastAsia="宋体"/>
                <w:sz w:val="18"/>
                <w:szCs w:val="18"/>
                <w:lang w:eastAsia="zh-CN"/>
              </w:rPr>
            </w:pPr>
            <w:r>
              <w:rPr>
                <w:sz w:val="18"/>
                <w:szCs w:val="18"/>
              </w:rPr>
              <w:t>5、支持声光报警提示，支持音量调节</w:t>
            </w:r>
            <w:r>
              <w:rPr>
                <w:rFonts w:hint="eastAsia"/>
                <w:sz w:val="18"/>
                <w:szCs w:val="18"/>
                <w:lang w:eastAsia="zh-CN"/>
              </w:rPr>
              <w:t>。</w:t>
            </w:r>
          </w:p>
          <w:p>
            <w:pPr>
              <w:rPr>
                <w:rFonts w:hint="eastAsia" w:eastAsia="宋体"/>
                <w:sz w:val="18"/>
                <w:szCs w:val="18"/>
                <w:lang w:eastAsia="zh-CN"/>
              </w:rPr>
            </w:pPr>
            <w:r>
              <w:rPr>
                <w:sz w:val="18"/>
                <w:szCs w:val="18"/>
              </w:rPr>
              <w:t>6、通道尺寸支持：600mm-1200mm</w:t>
            </w:r>
            <w:r>
              <w:rPr>
                <w:rFonts w:hint="eastAsia"/>
                <w:sz w:val="18"/>
                <w:szCs w:val="18"/>
                <w:lang w:eastAsia="zh-CN"/>
              </w:rPr>
              <w:t>。</w:t>
            </w:r>
          </w:p>
          <w:p>
            <w:pPr>
              <w:rPr>
                <w:rFonts w:hint="eastAsia" w:eastAsia="宋体"/>
                <w:sz w:val="18"/>
                <w:szCs w:val="18"/>
                <w:lang w:eastAsia="zh-CN"/>
              </w:rPr>
            </w:pPr>
            <w:r>
              <w:rPr>
                <w:sz w:val="18"/>
                <w:szCs w:val="18"/>
              </w:rPr>
              <w:t>7、▲摆臂采用抱箍设计，当外力冲撞关门状态的门翼时，门翼应随抱箍转动，防止机芯被强制转动而损坏</w:t>
            </w:r>
            <w:r>
              <w:rPr>
                <w:rFonts w:hint="eastAsia"/>
                <w:sz w:val="18"/>
                <w:szCs w:val="18"/>
                <w:lang w:eastAsia="zh-CN"/>
              </w:rPr>
              <w:t>。</w:t>
            </w:r>
          </w:p>
          <w:p>
            <w:pPr>
              <w:rPr>
                <w:sz w:val="18"/>
                <w:szCs w:val="18"/>
              </w:rPr>
            </w:pPr>
            <w:r>
              <w:rPr>
                <w:sz w:val="18"/>
                <w:szCs w:val="18"/>
              </w:rPr>
              <w:t>8、PCBA主板应有外壳防护罩，起到防水、防尘、防凝霜作用。</w:t>
            </w:r>
          </w:p>
          <w:p>
            <w:pPr>
              <w:rPr>
                <w:sz w:val="18"/>
                <w:szCs w:val="18"/>
              </w:rPr>
            </w:pPr>
            <w:r>
              <w:rPr>
                <w:sz w:val="18"/>
                <w:szCs w:val="18"/>
              </w:rPr>
              <w:t>9、▲支持红外故障，门翼故障，通信故障等核心部件故障自动检测，在红外损坏时，能够指示损坏红外的位置和数量，进行异常语音提示，声光报警以及平台上报。</w:t>
            </w:r>
          </w:p>
          <w:p>
            <w:pPr>
              <w:rPr>
                <w:rFonts w:hint="eastAsia" w:eastAsia="宋体"/>
                <w:sz w:val="18"/>
                <w:szCs w:val="18"/>
                <w:lang w:eastAsia="zh-CN"/>
              </w:rPr>
            </w:pPr>
            <w:r>
              <w:rPr>
                <w:sz w:val="18"/>
                <w:szCs w:val="18"/>
              </w:rPr>
              <w:t>10、平均无故障使用次数（MCBF）大于等于300万次</w:t>
            </w:r>
            <w:r>
              <w:rPr>
                <w:rFonts w:hint="eastAsia"/>
                <w:sz w:val="18"/>
                <w:szCs w:val="18"/>
                <w:lang w:eastAsia="zh-CN"/>
              </w:rPr>
              <w:t>。</w:t>
            </w:r>
          </w:p>
          <w:p>
            <w:pPr>
              <w:rPr>
                <w:rFonts w:hint="eastAsia" w:eastAsia="宋体"/>
                <w:sz w:val="18"/>
                <w:szCs w:val="18"/>
                <w:lang w:eastAsia="zh-CN"/>
              </w:rPr>
            </w:pPr>
            <w:r>
              <w:rPr>
                <w:sz w:val="18"/>
                <w:szCs w:val="18"/>
              </w:rPr>
              <w:t>11、支持消防应急常开功能；支持报警信号输出功能</w:t>
            </w:r>
            <w:r>
              <w:rPr>
                <w:rFonts w:hint="eastAsia"/>
                <w:sz w:val="18"/>
                <w:szCs w:val="18"/>
                <w:lang w:eastAsia="zh-CN"/>
              </w:rPr>
              <w:t>。</w:t>
            </w:r>
          </w:p>
          <w:p>
            <w:pPr>
              <w:rPr>
                <w:rFonts w:hint="eastAsia" w:eastAsia="宋体"/>
                <w:sz w:val="18"/>
                <w:szCs w:val="18"/>
                <w:lang w:eastAsia="zh-CN"/>
              </w:rPr>
            </w:pPr>
            <w:r>
              <w:rPr>
                <w:sz w:val="18"/>
                <w:szCs w:val="18"/>
              </w:rPr>
              <w:t>12、支持机械防夹、红外防夹功能</w:t>
            </w:r>
            <w:r>
              <w:rPr>
                <w:rFonts w:hint="eastAsia"/>
                <w:sz w:val="18"/>
                <w:szCs w:val="18"/>
                <w:lang w:eastAsia="zh-CN"/>
              </w:rPr>
              <w:t>。</w:t>
            </w:r>
          </w:p>
          <w:p>
            <w:pPr>
              <w:rPr>
                <w:rFonts w:hint="eastAsia" w:eastAsia="宋体"/>
                <w:sz w:val="18"/>
                <w:szCs w:val="18"/>
                <w:lang w:eastAsia="zh-CN"/>
              </w:rPr>
            </w:pPr>
            <w:r>
              <w:rPr>
                <w:sz w:val="18"/>
                <w:szCs w:val="18"/>
              </w:rPr>
              <w:t>13、支持防冲撞功能</w:t>
            </w:r>
            <w:r>
              <w:rPr>
                <w:rFonts w:hint="eastAsia"/>
                <w:sz w:val="18"/>
                <w:szCs w:val="18"/>
                <w:lang w:eastAsia="zh-CN"/>
              </w:rPr>
              <w:t>。</w:t>
            </w:r>
          </w:p>
          <w:p>
            <w:pPr>
              <w:rPr>
                <w:rFonts w:hint="eastAsia" w:eastAsia="宋体"/>
                <w:sz w:val="18"/>
                <w:szCs w:val="18"/>
                <w:lang w:eastAsia="zh-CN"/>
              </w:rPr>
            </w:pPr>
            <w:r>
              <w:rPr>
                <w:sz w:val="18"/>
                <w:szCs w:val="18"/>
              </w:rPr>
              <w:t>14、支持三种安全等级设置，适用不同安全级别的场景</w:t>
            </w:r>
            <w:r>
              <w:rPr>
                <w:rFonts w:hint="eastAsia"/>
                <w:sz w:val="18"/>
                <w:szCs w:val="18"/>
                <w:lang w:eastAsia="zh-CN"/>
              </w:rPr>
              <w:t>。</w:t>
            </w:r>
          </w:p>
          <w:p>
            <w:pPr>
              <w:rPr>
                <w:rFonts w:hint="eastAsia" w:eastAsia="宋体"/>
                <w:sz w:val="18"/>
                <w:szCs w:val="18"/>
                <w:lang w:eastAsia="zh-CN"/>
              </w:rPr>
            </w:pPr>
            <w:r>
              <w:rPr>
                <w:sz w:val="18"/>
                <w:szCs w:val="18"/>
              </w:rPr>
              <w:t>15、▲设备应支持读卡器（IC卡，ID卡）、二维码、人脸识别组件、身份证识别组件、遥控器等设备集成，实现多种认证方式组合应用</w:t>
            </w:r>
            <w:r>
              <w:rPr>
                <w:rFonts w:hint="eastAsia"/>
                <w:sz w:val="18"/>
                <w:szCs w:val="18"/>
                <w:lang w:eastAsia="zh-CN"/>
              </w:rPr>
              <w:t>。</w:t>
            </w:r>
          </w:p>
          <w:p>
            <w:pPr>
              <w:rPr>
                <w:rFonts w:hint="eastAsia" w:eastAsia="宋体"/>
                <w:sz w:val="18"/>
                <w:szCs w:val="18"/>
                <w:lang w:eastAsia="zh-CN"/>
              </w:rPr>
            </w:pPr>
            <w:r>
              <w:rPr>
                <w:sz w:val="18"/>
                <w:szCs w:val="18"/>
              </w:rPr>
              <w:t>16、支持九种通行模式组合：授权通行、禁止通行、自由通行等组合</w:t>
            </w:r>
            <w:r>
              <w:rPr>
                <w:rFonts w:hint="eastAsia"/>
                <w:sz w:val="18"/>
                <w:szCs w:val="18"/>
                <w:lang w:eastAsia="zh-CN"/>
              </w:rPr>
              <w:t>。</w:t>
            </w:r>
          </w:p>
          <w:p>
            <w:pPr>
              <w:rPr>
                <w:rFonts w:hint="eastAsia" w:eastAsia="宋体"/>
                <w:sz w:val="18"/>
                <w:szCs w:val="18"/>
                <w:lang w:eastAsia="zh-CN"/>
              </w:rPr>
            </w:pPr>
            <w:r>
              <w:rPr>
                <w:sz w:val="18"/>
                <w:szCs w:val="18"/>
              </w:rPr>
              <w:t>17、支持开关门速度调节；支持通行时间设置；支持延时关闸时间设置</w:t>
            </w:r>
            <w:r>
              <w:rPr>
                <w:rFonts w:hint="eastAsia"/>
                <w:sz w:val="18"/>
                <w:szCs w:val="18"/>
                <w:lang w:eastAsia="zh-CN"/>
              </w:rPr>
              <w:t>。</w:t>
            </w:r>
          </w:p>
          <w:p>
            <w:pPr>
              <w:rPr>
                <w:rFonts w:hint="eastAsia" w:eastAsia="宋体"/>
                <w:sz w:val="18"/>
                <w:szCs w:val="18"/>
                <w:lang w:eastAsia="zh-CN"/>
              </w:rPr>
            </w:pPr>
            <w:r>
              <w:rPr>
                <w:sz w:val="18"/>
                <w:szCs w:val="18"/>
              </w:rPr>
              <w:t>18、▲支持外接遥控器实现开闸、出向开闸、一键常开、消防常开功能控制</w:t>
            </w:r>
            <w:r>
              <w:rPr>
                <w:rFonts w:hint="eastAsia"/>
                <w:sz w:val="18"/>
                <w:szCs w:val="18"/>
                <w:lang w:eastAsia="zh-CN"/>
              </w:rPr>
              <w:t>。</w:t>
            </w:r>
          </w:p>
          <w:p>
            <w:pPr>
              <w:rPr>
                <w:rFonts w:hint="eastAsia" w:eastAsia="宋体"/>
                <w:sz w:val="18"/>
                <w:szCs w:val="18"/>
                <w:lang w:eastAsia="zh-CN"/>
              </w:rPr>
            </w:pPr>
            <w:r>
              <w:rPr>
                <w:sz w:val="18"/>
                <w:szCs w:val="18"/>
              </w:rPr>
              <w:t>19、支持二次开启功能，人员在通道内可以授权</w:t>
            </w:r>
            <w:r>
              <w:rPr>
                <w:rFonts w:hint="eastAsia"/>
                <w:sz w:val="18"/>
                <w:szCs w:val="18"/>
                <w:lang w:eastAsia="zh-CN"/>
              </w:rPr>
              <w:t>。</w:t>
            </w:r>
          </w:p>
          <w:p>
            <w:pPr>
              <w:rPr>
                <w:rFonts w:hint="eastAsia" w:eastAsia="宋体"/>
                <w:sz w:val="18"/>
                <w:szCs w:val="18"/>
                <w:lang w:eastAsia="zh-CN"/>
              </w:rPr>
            </w:pPr>
            <w:r>
              <w:rPr>
                <w:sz w:val="18"/>
                <w:szCs w:val="18"/>
              </w:rPr>
              <w:t>20、支持出入口记忆功能，可以连续授权过人</w:t>
            </w:r>
            <w:r>
              <w:rPr>
                <w:rFonts w:hint="eastAsia"/>
                <w:sz w:val="18"/>
                <w:szCs w:val="18"/>
                <w:lang w:eastAsia="zh-CN"/>
              </w:rPr>
              <w:t>。</w:t>
            </w:r>
          </w:p>
          <w:p>
            <w:pPr>
              <w:rPr>
                <w:rFonts w:hint="eastAsia" w:eastAsia="宋体"/>
                <w:sz w:val="18"/>
                <w:szCs w:val="18"/>
                <w:lang w:eastAsia="zh-CN"/>
              </w:rPr>
            </w:pPr>
            <w:r>
              <w:rPr>
                <w:sz w:val="18"/>
                <w:szCs w:val="18"/>
              </w:rPr>
              <w:t>21、支持人数统计</w:t>
            </w:r>
            <w:r>
              <w:rPr>
                <w:rFonts w:hint="eastAsia"/>
                <w:sz w:val="18"/>
                <w:szCs w:val="18"/>
                <w:lang w:eastAsia="zh-CN"/>
              </w:rPr>
              <w:t>。</w:t>
            </w:r>
          </w:p>
          <w:p>
            <w:pPr>
              <w:rPr>
                <w:sz w:val="18"/>
                <w:szCs w:val="18"/>
              </w:rPr>
            </w:pPr>
            <w:r>
              <w:rPr>
                <w:sz w:val="18"/>
                <w:szCs w:val="18"/>
              </w:rPr>
              <w:t>22、▲支持LED 灯显示通道状态，具有红色（禁止通行）、绿色（授权可通行）、蓝色（待机）三色灯显示状态。</w:t>
            </w:r>
          </w:p>
          <w:p>
            <w:pPr>
              <w:rPr>
                <w:rFonts w:hint="eastAsia" w:eastAsia="宋体"/>
                <w:sz w:val="18"/>
                <w:szCs w:val="18"/>
                <w:lang w:eastAsia="zh-CN"/>
              </w:rPr>
            </w:pPr>
            <w:r>
              <w:rPr>
                <w:sz w:val="18"/>
                <w:szCs w:val="18"/>
              </w:rPr>
              <w:t>23、支持非法闯入、尾随、反向闯入、滞留、异常开门、非法翻越、门翼故障、红外异常等声光报警提示</w:t>
            </w:r>
            <w:r>
              <w:rPr>
                <w:rFonts w:hint="eastAsia"/>
                <w:sz w:val="18"/>
                <w:szCs w:val="18"/>
                <w:lang w:eastAsia="zh-CN"/>
              </w:rPr>
              <w:t>。</w:t>
            </w:r>
          </w:p>
          <w:p>
            <w:pPr>
              <w:rPr>
                <w:rFonts w:hint="eastAsia" w:eastAsia="宋体"/>
                <w:sz w:val="18"/>
                <w:szCs w:val="18"/>
                <w:lang w:eastAsia="zh-CN"/>
              </w:rPr>
            </w:pPr>
            <w:r>
              <w:rPr>
                <w:sz w:val="18"/>
                <w:szCs w:val="18"/>
              </w:rPr>
              <w:t>24、▲内置“空开漏保”安全保护装置</w:t>
            </w:r>
            <w:r>
              <w:rPr>
                <w:rFonts w:hint="eastAsia"/>
                <w:sz w:val="18"/>
                <w:szCs w:val="18"/>
                <w:lang w:eastAsia="zh-CN"/>
              </w:rPr>
              <w:t>。</w:t>
            </w:r>
          </w:p>
          <w:p>
            <w:pPr>
              <w:rPr>
                <w:sz w:val="18"/>
                <w:szCs w:val="18"/>
              </w:rPr>
            </w:pPr>
            <w:r>
              <w:rPr>
                <w:sz w:val="18"/>
                <w:szCs w:val="18"/>
              </w:rPr>
              <w:t>25、支持最大浸水深度≥830mm。</w:t>
            </w:r>
          </w:p>
          <w:p>
            <w:pPr>
              <w:rPr>
                <w:rFonts w:hint="eastAsia" w:eastAsia="宋体"/>
                <w:sz w:val="18"/>
                <w:szCs w:val="18"/>
                <w:lang w:eastAsia="zh-CN"/>
              </w:rPr>
            </w:pPr>
            <w:r>
              <w:rPr>
                <w:sz w:val="18"/>
                <w:szCs w:val="18"/>
              </w:rPr>
              <w:t>26、外壳防护等级试验：IPX4</w:t>
            </w:r>
            <w:r>
              <w:rPr>
                <w:rFonts w:hint="eastAsia"/>
                <w:sz w:val="18"/>
                <w:szCs w:val="18"/>
                <w:lang w:eastAsia="zh-CN"/>
              </w:rPr>
              <w:t>。</w:t>
            </w:r>
          </w:p>
          <w:p>
            <w:pPr>
              <w:rPr>
                <w:rFonts w:hint="eastAsia" w:eastAsia="宋体"/>
                <w:sz w:val="18"/>
                <w:szCs w:val="18"/>
                <w:lang w:eastAsia="zh-CN"/>
              </w:rPr>
            </w:pPr>
            <w:r>
              <w:rPr>
                <w:rFonts w:hint="eastAsia"/>
                <w:sz w:val="18"/>
                <w:szCs w:val="18"/>
              </w:rPr>
              <w:t>加“▲”需提供权威检测机构检测报告复印件并加盖厂商公章</w:t>
            </w:r>
            <w:r>
              <w:rPr>
                <w:rFonts w:hint="eastAsia"/>
                <w:sz w:val="18"/>
                <w:szCs w:val="18"/>
                <w:lang w:eastAsia="zh-CN"/>
              </w:rPr>
              <w:t>。</w:t>
            </w:r>
          </w:p>
        </w:tc>
        <w:tc>
          <w:tcPr>
            <w:tcW w:w="827" w:type="dxa"/>
            <w:vMerge w:val="restart"/>
            <w:tcBorders>
              <w:left w:val="single" w:color="000000" w:sz="4" w:space="0"/>
              <w:right w:val="single" w:color="000000" w:sz="4" w:space="0"/>
            </w:tcBorders>
            <w:vAlign w:val="center"/>
          </w:tcPr>
          <w:p>
            <w:pPr>
              <w:jc w:val="center"/>
              <w:rPr>
                <w:rFonts w:cs="Times New Roman"/>
                <w:sz w:val="18"/>
                <w:szCs w:val="18"/>
              </w:rPr>
            </w:pPr>
            <w:r>
              <w:rPr>
                <w:rFonts w:hint="eastAsia" w:cs="Times New Roman"/>
                <w:sz w:val="18"/>
                <w:szCs w:val="18"/>
              </w:rPr>
              <w:t>9</w:t>
            </w:r>
          </w:p>
        </w:tc>
        <w:tc>
          <w:tcPr>
            <w:tcW w:w="818" w:type="dxa"/>
            <w:vMerge w:val="restart"/>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682" w:type="dxa"/>
            <w:vMerge w:val="continue"/>
            <w:tcBorders>
              <w:left w:val="single" w:color="000000" w:sz="4" w:space="0"/>
              <w:right w:val="single" w:color="000000" w:sz="4" w:space="0"/>
            </w:tcBorders>
            <w:vAlign w:val="center"/>
          </w:tcPr>
          <w:p>
            <w:pPr>
              <w:jc w:val="center"/>
              <w:rPr>
                <w:sz w:val="18"/>
                <w:szCs w:val="18"/>
              </w:rPr>
            </w:pPr>
          </w:p>
        </w:tc>
        <w:tc>
          <w:tcPr>
            <w:tcW w:w="1263" w:type="dxa"/>
            <w:vMerge w:val="continue"/>
            <w:tcBorders>
              <w:left w:val="single" w:color="000000" w:sz="4" w:space="0"/>
              <w:right w:val="single" w:color="000000" w:sz="4" w:space="0"/>
            </w:tcBorders>
            <w:vAlign w:val="center"/>
          </w:tcPr>
          <w:p>
            <w:pPr>
              <w:rPr>
                <w:sz w:val="18"/>
                <w:szCs w:val="18"/>
              </w:rPr>
            </w:pPr>
          </w:p>
        </w:tc>
        <w:tc>
          <w:tcPr>
            <w:tcW w:w="1263" w:type="dxa"/>
            <w:tcBorders>
              <w:top w:val="single" w:color="auto" w:sz="4" w:space="0"/>
              <w:left w:val="single" w:color="000000" w:sz="4" w:space="0"/>
              <w:right w:val="single" w:color="000000" w:sz="4" w:space="0"/>
            </w:tcBorders>
            <w:vAlign w:val="center"/>
          </w:tcPr>
          <w:p>
            <w:pPr>
              <w:rPr>
                <w:sz w:val="18"/>
                <w:szCs w:val="18"/>
              </w:rPr>
            </w:pPr>
            <w:r>
              <w:rPr>
                <w:rFonts w:hint="eastAsia"/>
                <w:sz w:val="18"/>
                <w:szCs w:val="18"/>
              </w:rPr>
              <w:t>其他</w:t>
            </w:r>
          </w:p>
        </w:tc>
        <w:tc>
          <w:tcPr>
            <w:tcW w:w="930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要求制造厂商出具针对本次项目的专项授权书及售后服务承诺函。</w:t>
            </w:r>
          </w:p>
        </w:tc>
        <w:tc>
          <w:tcPr>
            <w:tcW w:w="827" w:type="dxa"/>
            <w:vMerge w:val="continue"/>
            <w:tcBorders>
              <w:left w:val="single" w:color="000000" w:sz="4" w:space="0"/>
              <w:right w:val="single" w:color="000000" w:sz="4" w:space="0"/>
            </w:tcBorders>
            <w:vAlign w:val="center"/>
          </w:tcPr>
          <w:p>
            <w:pPr>
              <w:jc w:val="center"/>
              <w:rPr>
                <w:rFonts w:cs="Times New Roman"/>
                <w:sz w:val="18"/>
                <w:szCs w:val="18"/>
              </w:rPr>
            </w:pPr>
          </w:p>
        </w:tc>
        <w:tc>
          <w:tcPr>
            <w:tcW w:w="818" w:type="dxa"/>
            <w:vMerge w:val="continue"/>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682" w:type="dxa"/>
            <w:vMerge w:val="restart"/>
            <w:tcBorders>
              <w:left w:val="single" w:color="000000" w:sz="4" w:space="0"/>
              <w:right w:val="single" w:color="000000" w:sz="4" w:space="0"/>
            </w:tcBorders>
            <w:vAlign w:val="center"/>
          </w:tcPr>
          <w:p>
            <w:pPr>
              <w:jc w:val="center"/>
              <w:rPr>
                <w:sz w:val="18"/>
                <w:szCs w:val="18"/>
              </w:rPr>
            </w:pPr>
            <w:r>
              <w:rPr>
                <w:rFonts w:hint="eastAsia"/>
                <w:sz w:val="18"/>
                <w:szCs w:val="18"/>
              </w:rPr>
              <w:t>5</w:t>
            </w:r>
          </w:p>
        </w:tc>
        <w:tc>
          <w:tcPr>
            <w:tcW w:w="1263" w:type="dxa"/>
            <w:vMerge w:val="restart"/>
            <w:tcBorders>
              <w:left w:val="single" w:color="000000" w:sz="4" w:space="0"/>
              <w:right w:val="single" w:color="000000" w:sz="4" w:space="0"/>
            </w:tcBorders>
            <w:vAlign w:val="center"/>
          </w:tcPr>
          <w:p>
            <w:pPr>
              <w:jc w:val="center"/>
              <w:rPr>
                <w:sz w:val="18"/>
                <w:szCs w:val="18"/>
              </w:rPr>
            </w:pPr>
            <w:r>
              <w:rPr>
                <w:rFonts w:hint="eastAsia"/>
                <w:sz w:val="18"/>
                <w:szCs w:val="18"/>
              </w:rPr>
              <w:t>校园出入口人行闸机单机芯右边道</w:t>
            </w:r>
          </w:p>
        </w:tc>
        <w:tc>
          <w:tcPr>
            <w:tcW w:w="1263" w:type="dxa"/>
            <w:tcBorders>
              <w:left w:val="single" w:color="000000" w:sz="4" w:space="0"/>
              <w:right w:val="single" w:color="000000" w:sz="4" w:space="0"/>
            </w:tcBorders>
            <w:vAlign w:val="center"/>
          </w:tcPr>
          <w:p>
            <w:pPr>
              <w:rPr>
                <w:sz w:val="18"/>
                <w:szCs w:val="18"/>
              </w:rPr>
            </w:pPr>
            <w:r>
              <w:rPr>
                <w:rFonts w:hint="eastAsia"/>
                <w:sz w:val="18"/>
                <w:szCs w:val="18"/>
              </w:rPr>
              <w:t>功能描述</w:t>
            </w:r>
          </w:p>
        </w:tc>
        <w:tc>
          <w:tcPr>
            <w:tcW w:w="9304" w:type="dxa"/>
            <w:tcBorders>
              <w:top w:val="single" w:color="000000" w:sz="4" w:space="0"/>
              <w:left w:val="single" w:color="000000" w:sz="4" w:space="0"/>
              <w:bottom w:val="single" w:color="000000" w:sz="4" w:space="0"/>
              <w:right w:val="single" w:color="000000" w:sz="4" w:space="0"/>
            </w:tcBorders>
            <w:vAlign w:val="center"/>
          </w:tcPr>
          <w:p>
            <w:pPr>
              <w:rPr>
                <w:rFonts w:hint="eastAsia" w:eastAsia="宋体"/>
                <w:sz w:val="18"/>
                <w:szCs w:val="18"/>
                <w:lang w:eastAsia="zh-CN"/>
              </w:rPr>
            </w:pPr>
            <w:r>
              <w:rPr>
                <w:sz w:val="18"/>
                <w:szCs w:val="18"/>
              </w:rPr>
              <w:t>1、机箱采用国标304不锈钢材质，机箱厚度不低于0.8mm</w:t>
            </w:r>
            <w:r>
              <w:rPr>
                <w:rFonts w:hint="eastAsia"/>
                <w:sz w:val="18"/>
                <w:szCs w:val="18"/>
                <w:lang w:eastAsia="zh-CN"/>
              </w:rPr>
              <w:t>。</w:t>
            </w:r>
          </w:p>
          <w:p>
            <w:pPr>
              <w:rPr>
                <w:rFonts w:hint="eastAsia" w:eastAsia="宋体"/>
                <w:sz w:val="18"/>
                <w:szCs w:val="18"/>
                <w:lang w:eastAsia="zh-CN"/>
              </w:rPr>
            </w:pPr>
            <w:r>
              <w:rPr>
                <w:sz w:val="18"/>
                <w:szCs w:val="18"/>
              </w:rPr>
              <w:t>2、标配不少于4对红外检测</w:t>
            </w:r>
            <w:r>
              <w:rPr>
                <w:rFonts w:hint="eastAsia"/>
                <w:sz w:val="18"/>
                <w:szCs w:val="18"/>
                <w:lang w:eastAsia="zh-CN"/>
              </w:rPr>
              <w:t>。</w:t>
            </w:r>
          </w:p>
          <w:p>
            <w:pPr>
              <w:rPr>
                <w:rFonts w:hint="eastAsia" w:eastAsia="宋体"/>
                <w:sz w:val="18"/>
                <w:szCs w:val="18"/>
                <w:lang w:eastAsia="zh-CN"/>
              </w:rPr>
            </w:pPr>
            <w:r>
              <w:rPr>
                <w:sz w:val="18"/>
                <w:szCs w:val="18"/>
              </w:rPr>
              <w:t>3、采用直流无刷电机</w:t>
            </w:r>
            <w:r>
              <w:rPr>
                <w:rFonts w:hint="eastAsia"/>
                <w:sz w:val="18"/>
                <w:szCs w:val="18"/>
                <w:lang w:eastAsia="zh-CN"/>
              </w:rPr>
              <w:t>。</w:t>
            </w:r>
          </w:p>
          <w:p>
            <w:pPr>
              <w:rPr>
                <w:rFonts w:hint="eastAsia" w:eastAsia="宋体"/>
                <w:sz w:val="18"/>
                <w:szCs w:val="18"/>
                <w:lang w:eastAsia="zh-CN"/>
              </w:rPr>
            </w:pPr>
            <w:r>
              <w:rPr>
                <w:sz w:val="18"/>
                <w:szCs w:val="18"/>
              </w:rPr>
              <w:t>4、支持开门超时自动复位功能</w:t>
            </w:r>
            <w:r>
              <w:rPr>
                <w:rFonts w:hint="eastAsia"/>
                <w:sz w:val="18"/>
                <w:szCs w:val="18"/>
                <w:lang w:eastAsia="zh-CN"/>
              </w:rPr>
              <w:t>。</w:t>
            </w:r>
          </w:p>
          <w:p>
            <w:pPr>
              <w:rPr>
                <w:rFonts w:hint="eastAsia" w:eastAsia="宋体"/>
                <w:sz w:val="18"/>
                <w:szCs w:val="18"/>
                <w:lang w:eastAsia="zh-CN"/>
              </w:rPr>
            </w:pPr>
            <w:r>
              <w:rPr>
                <w:sz w:val="18"/>
                <w:szCs w:val="18"/>
              </w:rPr>
              <w:t>5、支持声光报警提示，支持音量调节</w:t>
            </w:r>
            <w:r>
              <w:rPr>
                <w:rFonts w:hint="eastAsia"/>
                <w:sz w:val="18"/>
                <w:szCs w:val="18"/>
                <w:lang w:eastAsia="zh-CN"/>
              </w:rPr>
              <w:t>。</w:t>
            </w:r>
          </w:p>
          <w:p>
            <w:pPr>
              <w:rPr>
                <w:rFonts w:hint="eastAsia" w:eastAsia="宋体"/>
                <w:sz w:val="18"/>
                <w:szCs w:val="18"/>
                <w:lang w:eastAsia="zh-CN"/>
              </w:rPr>
            </w:pPr>
            <w:r>
              <w:rPr>
                <w:sz w:val="18"/>
                <w:szCs w:val="18"/>
              </w:rPr>
              <w:t>6、通道尺寸支持：600mm-1200mm</w:t>
            </w:r>
            <w:r>
              <w:rPr>
                <w:rFonts w:hint="eastAsia"/>
                <w:sz w:val="18"/>
                <w:szCs w:val="18"/>
                <w:lang w:eastAsia="zh-CN"/>
              </w:rPr>
              <w:t>。</w:t>
            </w:r>
          </w:p>
          <w:p>
            <w:pPr>
              <w:rPr>
                <w:rFonts w:hint="eastAsia" w:eastAsia="宋体"/>
                <w:sz w:val="18"/>
                <w:szCs w:val="18"/>
                <w:lang w:eastAsia="zh-CN"/>
              </w:rPr>
            </w:pPr>
            <w:r>
              <w:rPr>
                <w:sz w:val="18"/>
                <w:szCs w:val="18"/>
              </w:rPr>
              <w:t>7、▲摆臂采用抱箍设计，当外力冲撞关门状态的门翼时，门翼应随抱箍转动，防止机芯被强制转动而损坏</w:t>
            </w:r>
            <w:r>
              <w:rPr>
                <w:rFonts w:hint="eastAsia"/>
                <w:sz w:val="18"/>
                <w:szCs w:val="18"/>
                <w:lang w:eastAsia="zh-CN"/>
              </w:rPr>
              <w:t>。</w:t>
            </w:r>
          </w:p>
          <w:p>
            <w:pPr>
              <w:rPr>
                <w:sz w:val="18"/>
                <w:szCs w:val="18"/>
              </w:rPr>
            </w:pPr>
            <w:r>
              <w:rPr>
                <w:sz w:val="18"/>
                <w:szCs w:val="18"/>
              </w:rPr>
              <w:t>8、PCBA主板应有外壳防护罩，起到防水、防尘、防凝霜作用。</w:t>
            </w:r>
          </w:p>
          <w:p>
            <w:pPr>
              <w:rPr>
                <w:sz w:val="18"/>
                <w:szCs w:val="18"/>
              </w:rPr>
            </w:pPr>
            <w:r>
              <w:rPr>
                <w:sz w:val="18"/>
                <w:szCs w:val="18"/>
              </w:rPr>
              <w:t>9、▲支持红外故障，门翼故障，通信故障等核心部件故障自动检测，在红外损坏时，能够指示损坏红外的位置和数量，进行异常语音提示，声光报警以及平台上报。</w:t>
            </w:r>
          </w:p>
          <w:p>
            <w:pPr>
              <w:rPr>
                <w:rFonts w:hint="eastAsia" w:eastAsia="宋体"/>
                <w:sz w:val="18"/>
                <w:szCs w:val="18"/>
                <w:lang w:eastAsia="zh-CN"/>
              </w:rPr>
            </w:pPr>
            <w:r>
              <w:rPr>
                <w:sz w:val="18"/>
                <w:szCs w:val="18"/>
              </w:rPr>
              <w:t>10、平均无故障使用次数（MCBF）大于等于300万次</w:t>
            </w:r>
            <w:r>
              <w:rPr>
                <w:rFonts w:hint="eastAsia"/>
                <w:sz w:val="18"/>
                <w:szCs w:val="18"/>
                <w:lang w:eastAsia="zh-CN"/>
              </w:rPr>
              <w:t>。</w:t>
            </w:r>
          </w:p>
          <w:p>
            <w:pPr>
              <w:rPr>
                <w:rFonts w:hint="eastAsia" w:eastAsia="宋体"/>
                <w:sz w:val="18"/>
                <w:szCs w:val="18"/>
                <w:lang w:eastAsia="zh-CN"/>
              </w:rPr>
            </w:pPr>
            <w:r>
              <w:rPr>
                <w:sz w:val="18"/>
                <w:szCs w:val="18"/>
              </w:rPr>
              <w:t>11、支持消防应急常开功能；支持报警信号输出功能</w:t>
            </w:r>
            <w:r>
              <w:rPr>
                <w:rFonts w:hint="eastAsia"/>
                <w:sz w:val="18"/>
                <w:szCs w:val="18"/>
                <w:lang w:eastAsia="zh-CN"/>
              </w:rPr>
              <w:t>。</w:t>
            </w:r>
          </w:p>
          <w:p>
            <w:pPr>
              <w:rPr>
                <w:rFonts w:hint="eastAsia" w:eastAsia="宋体"/>
                <w:sz w:val="18"/>
                <w:szCs w:val="18"/>
                <w:lang w:eastAsia="zh-CN"/>
              </w:rPr>
            </w:pPr>
            <w:r>
              <w:rPr>
                <w:sz w:val="18"/>
                <w:szCs w:val="18"/>
              </w:rPr>
              <w:t>12、支持机械防夹、红外防夹功能</w:t>
            </w:r>
            <w:r>
              <w:rPr>
                <w:rFonts w:hint="eastAsia"/>
                <w:sz w:val="18"/>
                <w:szCs w:val="18"/>
                <w:lang w:eastAsia="zh-CN"/>
              </w:rPr>
              <w:t>。</w:t>
            </w:r>
          </w:p>
          <w:p>
            <w:pPr>
              <w:rPr>
                <w:rFonts w:hint="eastAsia" w:eastAsia="宋体"/>
                <w:sz w:val="18"/>
                <w:szCs w:val="18"/>
                <w:lang w:eastAsia="zh-CN"/>
              </w:rPr>
            </w:pPr>
            <w:r>
              <w:rPr>
                <w:sz w:val="18"/>
                <w:szCs w:val="18"/>
              </w:rPr>
              <w:t>13、支持防冲撞功能</w:t>
            </w:r>
            <w:r>
              <w:rPr>
                <w:rFonts w:hint="eastAsia"/>
                <w:sz w:val="18"/>
                <w:szCs w:val="18"/>
                <w:lang w:eastAsia="zh-CN"/>
              </w:rPr>
              <w:t>。</w:t>
            </w:r>
          </w:p>
          <w:p>
            <w:pPr>
              <w:rPr>
                <w:rFonts w:hint="eastAsia" w:eastAsia="宋体"/>
                <w:sz w:val="18"/>
                <w:szCs w:val="18"/>
                <w:lang w:eastAsia="zh-CN"/>
              </w:rPr>
            </w:pPr>
            <w:r>
              <w:rPr>
                <w:sz w:val="18"/>
                <w:szCs w:val="18"/>
              </w:rPr>
              <w:t>14、支持三种安全等级设置，适用不同安全级别的场景</w:t>
            </w:r>
            <w:r>
              <w:rPr>
                <w:rFonts w:hint="eastAsia"/>
                <w:sz w:val="18"/>
                <w:szCs w:val="18"/>
                <w:lang w:eastAsia="zh-CN"/>
              </w:rPr>
              <w:t>。</w:t>
            </w:r>
          </w:p>
          <w:p>
            <w:pPr>
              <w:rPr>
                <w:rFonts w:hint="eastAsia" w:eastAsia="宋体"/>
                <w:sz w:val="18"/>
                <w:szCs w:val="18"/>
                <w:lang w:eastAsia="zh-CN"/>
              </w:rPr>
            </w:pPr>
            <w:r>
              <w:rPr>
                <w:sz w:val="18"/>
                <w:szCs w:val="18"/>
              </w:rPr>
              <w:t>15、▲设备应支持读卡器（IC卡，ID卡）、二维码、人脸识别组件、身份证识别组件、遥控器等设备集成，实现多种认证方式组合应用</w:t>
            </w:r>
            <w:r>
              <w:rPr>
                <w:rFonts w:hint="eastAsia"/>
                <w:sz w:val="18"/>
                <w:szCs w:val="18"/>
                <w:lang w:eastAsia="zh-CN"/>
              </w:rPr>
              <w:t>。</w:t>
            </w:r>
          </w:p>
          <w:p>
            <w:pPr>
              <w:rPr>
                <w:rFonts w:hint="eastAsia" w:eastAsia="宋体"/>
                <w:sz w:val="18"/>
                <w:szCs w:val="18"/>
                <w:lang w:eastAsia="zh-CN"/>
              </w:rPr>
            </w:pPr>
            <w:r>
              <w:rPr>
                <w:sz w:val="18"/>
                <w:szCs w:val="18"/>
              </w:rPr>
              <w:t>16、支持九种通行模式组合：授权通行、禁止通行、自由通行等组合</w:t>
            </w:r>
            <w:r>
              <w:rPr>
                <w:rFonts w:hint="eastAsia"/>
                <w:sz w:val="18"/>
                <w:szCs w:val="18"/>
                <w:lang w:eastAsia="zh-CN"/>
              </w:rPr>
              <w:t>。</w:t>
            </w:r>
          </w:p>
          <w:p>
            <w:pPr>
              <w:rPr>
                <w:rFonts w:hint="eastAsia" w:eastAsia="宋体"/>
                <w:sz w:val="18"/>
                <w:szCs w:val="18"/>
                <w:lang w:eastAsia="zh-CN"/>
              </w:rPr>
            </w:pPr>
            <w:r>
              <w:rPr>
                <w:sz w:val="18"/>
                <w:szCs w:val="18"/>
              </w:rPr>
              <w:t>17、支持开关门速度调节；支持通行时间设置；支持延时关闸时间设置</w:t>
            </w:r>
            <w:r>
              <w:rPr>
                <w:rFonts w:hint="eastAsia"/>
                <w:sz w:val="18"/>
                <w:szCs w:val="18"/>
                <w:lang w:eastAsia="zh-CN"/>
              </w:rPr>
              <w:t>。</w:t>
            </w:r>
          </w:p>
          <w:p>
            <w:pPr>
              <w:rPr>
                <w:rFonts w:hint="eastAsia" w:eastAsia="宋体"/>
                <w:sz w:val="18"/>
                <w:szCs w:val="18"/>
                <w:lang w:eastAsia="zh-CN"/>
              </w:rPr>
            </w:pPr>
            <w:r>
              <w:rPr>
                <w:sz w:val="18"/>
                <w:szCs w:val="18"/>
              </w:rPr>
              <w:t>18、▲支持外接遥控器实现开闸、出向开闸、一键常开、消防常开功能控制</w:t>
            </w:r>
            <w:r>
              <w:rPr>
                <w:rFonts w:hint="eastAsia"/>
                <w:sz w:val="18"/>
                <w:szCs w:val="18"/>
                <w:lang w:eastAsia="zh-CN"/>
              </w:rPr>
              <w:t>。</w:t>
            </w:r>
          </w:p>
          <w:p>
            <w:pPr>
              <w:rPr>
                <w:rFonts w:hint="eastAsia" w:eastAsia="宋体"/>
                <w:sz w:val="18"/>
                <w:szCs w:val="18"/>
                <w:lang w:eastAsia="zh-CN"/>
              </w:rPr>
            </w:pPr>
            <w:r>
              <w:rPr>
                <w:sz w:val="18"/>
                <w:szCs w:val="18"/>
              </w:rPr>
              <w:t>19、支持二次开启功能，人员在通道内可以授权</w:t>
            </w:r>
            <w:r>
              <w:rPr>
                <w:rFonts w:hint="eastAsia"/>
                <w:sz w:val="18"/>
                <w:szCs w:val="18"/>
                <w:lang w:eastAsia="zh-CN"/>
              </w:rPr>
              <w:t>。</w:t>
            </w:r>
          </w:p>
          <w:p>
            <w:pPr>
              <w:rPr>
                <w:rFonts w:hint="eastAsia" w:eastAsia="宋体"/>
                <w:sz w:val="18"/>
                <w:szCs w:val="18"/>
                <w:lang w:eastAsia="zh-CN"/>
              </w:rPr>
            </w:pPr>
            <w:r>
              <w:rPr>
                <w:sz w:val="18"/>
                <w:szCs w:val="18"/>
              </w:rPr>
              <w:t>20、支持出入口记忆功能，可以连续授权过人</w:t>
            </w:r>
            <w:r>
              <w:rPr>
                <w:rFonts w:hint="eastAsia"/>
                <w:sz w:val="18"/>
                <w:szCs w:val="18"/>
                <w:lang w:eastAsia="zh-CN"/>
              </w:rPr>
              <w:t>。</w:t>
            </w:r>
          </w:p>
          <w:p>
            <w:pPr>
              <w:rPr>
                <w:rFonts w:hint="eastAsia" w:eastAsia="宋体"/>
                <w:sz w:val="18"/>
                <w:szCs w:val="18"/>
                <w:lang w:eastAsia="zh-CN"/>
              </w:rPr>
            </w:pPr>
            <w:r>
              <w:rPr>
                <w:sz w:val="18"/>
                <w:szCs w:val="18"/>
              </w:rPr>
              <w:t>21、支持人数统计</w:t>
            </w:r>
            <w:r>
              <w:rPr>
                <w:rFonts w:hint="eastAsia"/>
                <w:sz w:val="18"/>
                <w:szCs w:val="18"/>
                <w:lang w:eastAsia="zh-CN"/>
              </w:rPr>
              <w:t>。</w:t>
            </w:r>
          </w:p>
          <w:p>
            <w:pPr>
              <w:rPr>
                <w:sz w:val="18"/>
                <w:szCs w:val="18"/>
              </w:rPr>
            </w:pPr>
            <w:r>
              <w:rPr>
                <w:sz w:val="18"/>
                <w:szCs w:val="18"/>
              </w:rPr>
              <w:t>22、▲支持LED 灯显示通道状态，具有红色（禁止通行）、绿色（授权可通行）、蓝色（待机）三色灯显示状态。</w:t>
            </w:r>
          </w:p>
          <w:p>
            <w:pPr>
              <w:rPr>
                <w:rFonts w:hint="eastAsia" w:eastAsia="宋体"/>
                <w:sz w:val="18"/>
                <w:szCs w:val="18"/>
                <w:lang w:eastAsia="zh-CN"/>
              </w:rPr>
            </w:pPr>
            <w:r>
              <w:rPr>
                <w:sz w:val="18"/>
                <w:szCs w:val="18"/>
              </w:rPr>
              <w:t>23、支持非法闯入、尾随、反向闯入、滞留、异常开门、非法翻越、门翼故障、红外异常等声光报警提示</w:t>
            </w:r>
            <w:r>
              <w:rPr>
                <w:rFonts w:hint="eastAsia"/>
                <w:sz w:val="18"/>
                <w:szCs w:val="18"/>
                <w:lang w:eastAsia="zh-CN"/>
              </w:rPr>
              <w:t>。</w:t>
            </w:r>
          </w:p>
          <w:p>
            <w:pPr>
              <w:rPr>
                <w:rFonts w:hint="eastAsia" w:eastAsia="宋体"/>
                <w:sz w:val="18"/>
                <w:szCs w:val="18"/>
                <w:lang w:eastAsia="zh-CN"/>
              </w:rPr>
            </w:pPr>
            <w:r>
              <w:rPr>
                <w:sz w:val="18"/>
                <w:szCs w:val="18"/>
              </w:rPr>
              <w:t>24、▲内置“空开漏保”安全保护装置</w:t>
            </w:r>
            <w:r>
              <w:rPr>
                <w:rFonts w:hint="eastAsia"/>
                <w:sz w:val="18"/>
                <w:szCs w:val="18"/>
                <w:lang w:eastAsia="zh-CN"/>
              </w:rPr>
              <w:t>。</w:t>
            </w:r>
          </w:p>
          <w:p>
            <w:pPr>
              <w:rPr>
                <w:sz w:val="18"/>
                <w:szCs w:val="18"/>
              </w:rPr>
            </w:pPr>
            <w:r>
              <w:rPr>
                <w:sz w:val="18"/>
                <w:szCs w:val="18"/>
              </w:rPr>
              <w:t>25、支持最大浸水深度≥830mm。</w:t>
            </w:r>
          </w:p>
          <w:p>
            <w:pPr>
              <w:rPr>
                <w:rFonts w:hint="eastAsia" w:eastAsia="宋体"/>
                <w:sz w:val="18"/>
                <w:szCs w:val="18"/>
                <w:lang w:eastAsia="zh-CN"/>
              </w:rPr>
            </w:pPr>
            <w:r>
              <w:rPr>
                <w:sz w:val="18"/>
                <w:szCs w:val="18"/>
              </w:rPr>
              <w:t>26、外壳防护等级试验：IPX4</w:t>
            </w:r>
            <w:r>
              <w:rPr>
                <w:rFonts w:hint="eastAsia"/>
                <w:sz w:val="18"/>
                <w:szCs w:val="18"/>
                <w:lang w:eastAsia="zh-CN"/>
              </w:rPr>
              <w:t>。</w:t>
            </w:r>
          </w:p>
          <w:p>
            <w:pPr>
              <w:rPr>
                <w:rFonts w:hint="eastAsia" w:eastAsia="宋体"/>
                <w:sz w:val="18"/>
                <w:szCs w:val="18"/>
                <w:lang w:eastAsia="zh-CN"/>
              </w:rPr>
            </w:pPr>
            <w:r>
              <w:rPr>
                <w:rFonts w:hint="eastAsia"/>
                <w:sz w:val="18"/>
                <w:szCs w:val="18"/>
              </w:rPr>
              <w:t>加“▲”需提供权威检测机构检测报告复印件并加盖厂商公章</w:t>
            </w:r>
            <w:r>
              <w:rPr>
                <w:rFonts w:hint="eastAsia"/>
                <w:sz w:val="18"/>
                <w:szCs w:val="18"/>
                <w:lang w:eastAsia="zh-CN"/>
              </w:rPr>
              <w:t>。</w:t>
            </w:r>
          </w:p>
        </w:tc>
        <w:tc>
          <w:tcPr>
            <w:tcW w:w="827" w:type="dxa"/>
            <w:vMerge w:val="restart"/>
            <w:tcBorders>
              <w:left w:val="single" w:color="000000" w:sz="4" w:space="0"/>
              <w:right w:val="single" w:color="000000" w:sz="4" w:space="0"/>
            </w:tcBorders>
            <w:vAlign w:val="center"/>
          </w:tcPr>
          <w:p>
            <w:pPr>
              <w:jc w:val="center"/>
              <w:rPr>
                <w:rFonts w:cs="Times New Roman"/>
                <w:sz w:val="18"/>
                <w:szCs w:val="18"/>
              </w:rPr>
            </w:pPr>
            <w:r>
              <w:rPr>
                <w:rFonts w:hint="eastAsia" w:cs="Times New Roman"/>
                <w:sz w:val="18"/>
                <w:szCs w:val="18"/>
              </w:rPr>
              <w:t>6</w:t>
            </w:r>
          </w:p>
        </w:tc>
        <w:tc>
          <w:tcPr>
            <w:tcW w:w="818" w:type="dxa"/>
            <w:vMerge w:val="restart"/>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682" w:type="dxa"/>
            <w:vMerge w:val="continue"/>
            <w:tcBorders>
              <w:left w:val="single" w:color="000000" w:sz="4" w:space="0"/>
              <w:right w:val="single" w:color="000000" w:sz="4" w:space="0"/>
            </w:tcBorders>
            <w:vAlign w:val="center"/>
          </w:tcPr>
          <w:p>
            <w:pPr>
              <w:jc w:val="center"/>
              <w:rPr>
                <w:sz w:val="18"/>
                <w:szCs w:val="18"/>
              </w:rPr>
            </w:pPr>
          </w:p>
        </w:tc>
        <w:tc>
          <w:tcPr>
            <w:tcW w:w="1263" w:type="dxa"/>
            <w:vMerge w:val="continue"/>
            <w:tcBorders>
              <w:left w:val="single" w:color="000000" w:sz="4" w:space="0"/>
              <w:right w:val="single" w:color="000000" w:sz="4" w:space="0"/>
            </w:tcBorders>
            <w:vAlign w:val="center"/>
          </w:tcPr>
          <w:p>
            <w:pPr>
              <w:rPr>
                <w:sz w:val="18"/>
                <w:szCs w:val="18"/>
              </w:rPr>
            </w:pPr>
          </w:p>
        </w:tc>
        <w:tc>
          <w:tcPr>
            <w:tcW w:w="1263" w:type="dxa"/>
            <w:tcBorders>
              <w:left w:val="single" w:color="000000" w:sz="4" w:space="0"/>
              <w:right w:val="single" w:color="000000" w:sz="4" w:space="0"/>
            </w:tcBorders>
            <w:vAlign w:val="center"/>
          </w:tcPr>
          <w:p>
            <w:pPr>
              <w:rPr>
                <w:sz w:val="18"/>
                <w:szCs w:val="18"/>
              </w:rPr>
            </w:pPr>
            <w:r>
              <w:rPr>
                <w:rFonts w:hint="eastAsia"/>
                <w:sz w:val="18"/>
                <w:szCs w:val="18"/>
              </w:rPr>
              <w:t>其他</w:t>
            </w:r>
          </w:p>
        </w:tc>
        <w:tc>
          <w:tcPr>
            <w:tcW w:w="930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要求制造厂商出具针对本次项目的专项授权书及售后服务承诺函。</w:t>
            </w:r>
          </w:p>
        </w:tc>
        <w:tc>
          <w:tcPr>
            <w:tcW w:w="827" w:type="dxa"/>
            <w:vMerge w:val="continue"/>
            <w:tcBorders>
              <w:left w:val="single" w:color="000000" w:sz="4" w:space="0"/>
              <w:right w:val="single" w:color="000000" w:sz="4" w:space="0"/>
            </w:tcBorders>
            <w:vAlign w:val="center"/>
          </w:tcPr>
          <w:p>
            <w:pPr>
              <w:jc w:val="center"/>
              <w:rPr>
                <w:rFonts w:cs="Times New Roman"/>
                <w:sz w:val="18"/>
                <w:szCs w:val="18"/>
              </w:rPr>
            </w:pPr>
          </w:p>
        </w:tc>
        <w:tc>
          <w:tcPr>
            <w:tcW w:w="818" w:type="dxa"/>
            <w:vMerge w:val="continue"/>
            <w:tcBorders>
              <w:left w:val="single" w:color="000000" w:sz="4" w:space="0"/>
              <w:right w:val="single" w:color="000000" w:sz="4" w:space="0"/>
            </w:tcBorders>
            <w:vAlign w:val="center"/>
          </w:tcPr>
          <w:p>
            <w:pPr>
              <w:rPr>
                <w:rFonts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trPr>
        <w:tc>
          <w:tcPr>
            <w:tcW w:w="682" w:type="dxa"/>
            <w:tcBorders>
              <w:left w:val="single" w:color="000000" w:sz="4" w:space="0"/>
              <w:right w:val="single" w:color="000000" w:sz="4" w:space="0"/>
            </w:tcBorders>
            <w:vAlign w:val="center"/>
          </w:tcPr>
          <w:p>
            <w:pPr>
              <w:jc w:val="center"/>
              <w:rPr>
                <w:sz w:val="18"/>
                <w:szCs w:val="18"/>
              </w:rPr>
            </w:pPr>
            <w:r>
              <w:rPr>
                <w:rFonts w:hint="eastAsia"/>
                <w:sz w:val="18"/>
                <w:szCs w:val="18"/>
              </w:rPr>
              <w:t>6</w:t>
            </w:r>
          </w:p>
        </w:tc>
        <w:tc>
          <w:tcPr>
            <w:tcW w:w="1263" w:type="dxa"/>
            <w:tcBorders>
              <w:left w:val="single" w:color="000000" w:sz="4" w:space="0"/>
              <w:right w:val="single" w:color="000000" w:sz="4" w:space="0"/>
            </w:tcBorders>
            <w:vAlign w:val="center"/>
          </w:tcPr>
          <w:p>
            <w:pPr>
              <w:rPr>
                <w:sz w:val="18"/>
                <w:szCs w:val="18"/>
              </w:rPr>
            </w:pPr>
            <w:r>
              <w:rPr>
                <w:rFonts w:hint="eastAsia"/>
                <w:sz w:val="18"/>
                <w:szCs w:val="18"/>
              </w:rPr>
              <w:t>人工费及辅材</w:t>
            </w:r>
          </w:p>
        </w:tc>
        <w:tc>
          <w:tcPr>
            <w:tcW w:w="1263" w:type="dxa"/>
            <w:tcBorders>
              <w:left w:val="single" w:color="000000" w:sz="4" w:space="0"/>
              <w:right w:val="single" w:color="000000" w:sz="4" w:space="0"/>
            </w:tcBorders>
            <w:vAlign w:val="center"/>
          </w:tcPr>
          <w:p>
            <w:pPr>
              <w:rPr>
                <w:sz w:val="18"/>
                <w:szCs w:val="18"/>
              </w:rPr>
            </w:pPr>
            <w:r>
              <w:rPr>
                <w:rFonts w:hint="eastAsia"/>
                <w:sz w:val="18"/>
                <w:szCs w:val="18"/>
              </w:rPr>
              <w:t>要求</w:t>
            </w:r>
          </w:p>
        </w:tc>
        <w:tc>
          <w:tcPr>
            <w:tcW w:w="930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人工费及辅材（水泥底座、线材、辅材施工、</w:t>
            </w:r>
            <w:r>
              <w:rPr>
                <w:sz w:val="18"/>
                <w:szCs w:val="18"/>
              </w:rPr>
              <w:t>PVC管材、网线、水晶头、</w:t>
            </w:r>
            <w:r>
              <w:rPr>
                <w:rFonts w:hint="eastAsia"/>
                <w:sz w:val="18"/>
                <w:szCs w:val="18"/>
              </w:rPr>
              <w:t>扎带</w:t>
            </w:r>
            <w:r>
              <w:rPr>
                <w:sz w:val="18"/>
                <w:szCs w:val="18"/>
              </w:rPr>
              <w:t>、设备安装、设备调试、主机通讯互连等）</w:t>
            </w:r>
            <w:r>
              <w:rPr>
                <w:rFonts w:hint="eastAsia"/>
                <w:sz w:val="18"/>
                <w:szCs w:val="18"/>
              </w:rPr>
              <w:t>。</w:t>
            </w:r>
          </w:p>
        </w:tc>
        <w:tc>
          <w:tcPr>
            <w:tcW w:w="827" w:type="dxa"/>
            <w:tcBorders>
              <w:left w:val="single" w:color="000000" w:sz="4" w:space="0"/>
              <w:right w:val="single" w:color="000000" w:sz="4" w:space="0"/>
            </w:tcBorders>
            <w:vAlign w:val="center"/>
          </w:tcPr>
          <w:p>
            <w:pPr>
              <w:jc w:val="center"/>
              <w:rPr>
                <w:rFonts w:cs="Times New Roman"/>
                <w:sz w:val="18"/>
                <w:szCs w:val="18"/>
              </w:rPr>
            </w:pPr>
            <w:r>
              <w:rPr>
                <w:rFonts w:hint="eastAsia" w:cs="Times New Roman"/>
                <w:sz w:val="18"/>
                <w:szCs w:val="18"/>
              </w:rPr>
              <w:t>1</w:t>
            </w:r>
          </w:p>
        </w:tc>
        <w:tc>
          <w:tcPr>
            <w:tcW w:w="818" w:type="dxa"/>
            <w:tcBorders>
              <w:left w:val="single" w:color="000000" w:sz="4" w:space="0"/>
              <w:right w:val="single" w:color="000000" w:sz="4" w:space="0"/>
            </w:tcBorders>
            <w:vAlign w:val="center"/>
          </w:tcPr>
          <w:p>
            <w:pPr>
              <w:rPr>
                <w:rFonts w:cs="Times New Roman"/>
                <w:sz w:val="18"/>
                <w:szCs w:val="18"/>
              </w:rPr>
            </w:pPr>
          </w:p>
        </w:tc>
      </w:tr>
    </w:tbl>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YTQ3NzkzMmNhZWE4ZGFlNzYwYmIxODBkODJlMzEifQ=="/>
  </w:docVars>
  <w:rsids>
    <w:rsidRoot w:val="00695CA5"/>
    <w:rsid w:val="000437ED"/>
    <w:rsid w:val="000454BA"/>
    <w:rsid w:val="00047407"/>
    <w:rsid w:val="00086302"/>
    <w:rsid w:val="000D222C"/>
    <w:rsid w:val="001169E6"/>
    <w:rsid w:val="001864EF"/>
    <w:rsid w:val="001D2129"/>
    <w:rsid w:val="00216FB1"/>
    <w:rsid w:val="00241C82"/>
    <w:rsid w:val="002613BD"/>
    <w:rsid w:val="00303B80"/>
    <w:rsid w:val="00361FE8"/>
    <w:rsid w:val="003D0120"/>
    <w:rsid w:val="003F351A"/>
    <w:rsid w:val="00420982"/>
    <w:rsid w:val="00485C32"/>
    <w:rsid w:val="00497691"/>
    <w:rsid w:val="004A11A4"/>
    <w:rsid w:val="00517B2F"/>
    <w:rsid w:val="005645AF"/>
    <w:rsid w:val="005A52B3"/>
    <w:rsid w:val="00627BDE"/>
    <w:rsid w:val="00695CA5"/>
    <w:rsid w:val="0070040E"/>
    <w:rsid w:val="007416C8"/>
    <w:rsid w:val="0076726C"/>
    <w:rsid w:val="007D3017"/>
    <w:rsid w:val="00827B5C"/>
    <w:rsid w:val="00850948"/>
    <w:rsid w:val="00883AF0"/>
    <w:rsid w:val="008A76AC"/>
    <w:rsid w:val="00946149"/>
    <w:rsid w:val="0095549D"/>
    <w:rsid w:val="00964A3C"/>
    <w:rsid w:val="009D0D62"/>
    <w:rsid w:val="00A51072"/>
    <w:rsid w:val="00A63707"/>
    <w:rsid w:val="00A74B36"/>
    <w:rsid w:val="00A84C94"/>
    <w:rsid w:val="00AB4922"/>
    <w:rsid w:val="00AC3644"/>
    <w:rsid w:val="00B1310C"/>
    <w:rsid w:val="00B37F64"/>
    <w:rsid w:val="00B4406E"/>
    <w:rsid w:val="00BF7B7F"/>
    <w:rsid w:val="00C0351E"/>
    <w:rsid w:val="00C05B04"/>
    <w:rsid w:val="00C12661"/>
    <w:rsid w:val="00CC01C1"/>
    <w:rsid w:val="00CC4F9A"/>
    <w:rsid w:val="00CE27D9"/>
    <w:rsid w:val="00D12F24"/>
    <w:rsid w:val="00D32342"/>
    <w:rsid w:val="00DA2FEE"/>
    <w:rsid w:val="00E27A02"/>
    <w:rsid w:val="00F752E7"/>
    <w:rsid w:val="00FB1CB0"/>
    <w:rsid w:val="00FB7DF3"/>
    <w:rsid w:val="00FC5312"/>
    <w:rsid w:val="00FD0B65"/>
    <w:rsid w:val="00FD367C"/>
    <w:rsid w:val="030A7768"/>
    <w:rsid w:val="099E7B23"/>
    <w:rsid w:val="13610464"/>
    <w:rsid w:val="1E836376"/>
    <w:rsid w:val="312776AB"/>
    <w:rsid w:val="316B4BE6"/>
    <w:rsid w:val="34736C02"/>
    <w:rsid w:val="38AB7AC3"/>
    <w:rsid w:val="3B984E19"/>
    <w:rsid w:val="3F91265C"/>
    <w:rsid w:val="517D0C86"/>
    <w:rsid w:val="519F2E60"/>
    <w:rsid w:val="541A0CF9"/>
    <w:rsid w:val="60C80CFF"/>
    <w:rsid w:val="68D76712"/>
    <w:rsid w:val="6E997869"/>
    <w:rsid w:val="73466A94"/>
    <w:rsid w:val="77881F27"/>
    <w:rsid w:val="7DE2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index 4"/>
    <w:basedOn w:val="1"/>
    <w:next w:val="1"/>
    <w:autoRedefine/>
    <w:qFormat/>
    <w:uiPriority w:val="0"/>
    <w:pPr>
      <w:ind w:left="560" w:leftChars="200"/>
    </w:pPr>
    <w:rPr>
      <w:rFonts w:ascii="Times New Roman" w:hAnsi="Times New Roman"/>
      <w:sz w:val="28"/>
    </w:rPr>
  </w:style>
  <w:style w:type="paragraph" w:styleId="4">
    <w:name w:val="Balloon Text"/>
    <w:basedOn w:val="1"/>
    <w:link w:val="11"/>
    <w:autoRedefine/>
    <w:semiHidden/>
    <w:unhideWhenUsed/>
    <w:qFormat/>
    <w:uiPriority w:val="99"/>
    <w:rPr>
      <w:sz w:val="18"/>
      <w:szCs w:val="18"/>
    </w:rPr>
  </w:style>
  <w:style w:type="paragraph" w:styleId="5">
    <w:name w:val="footer"/>
    <w:basedOn w:val="1"/>
    <w:link w:val="10"/>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9"/>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character" w:customStyle="1" w:styleId="11">
    <w:name w:val="批注框文本 字符"/>
    <w:basedOn w:val="8"/>
    <w:link w:val="4"/>
    <w:autoRedefine/>
    <w:semiHidden/>
    <w:qFormat/>
    <w:uiPriority w:val="99"/>
    <w:rPr>
      <w:rFonts w:ascii="宋体" w:hAnsi="宋体" w:eastAsia="宋体" w:cs="宋体"/>
      <w:kern w:val="0"/>
      <w:sz w:val="18"/>
      <w:szCs w:val="18"/>
    </w:rPr>
  </w:style>
  <w:style w:type="paragraph" w:styleId="12">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808</Words>
  <Characters>4611</Characters>
  <Lines>38</Lines>
  <Paragraphs>10</Paragraphs>
  <TotalTime>14</TotalTime>
  <ScaleCrop>false</ScaleCrop>
  <LinksUpToDate>false</LinksUpToDate>
  <CharactersWithSpaces>5409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2024-02-27T15:18:00Z</dcterms:created>
  <dc:creator>admin</dc:creator>
  <cp:lastModifiedBy>一无所有136637275718</cp:lastModifiedBy>
  <dcterms:modified xsi:type="dcterms:W3CDTF">2024-03-19T01:38:46Z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4D8270C60ADE4547B315B5555CA252D9_13</vt:lpwstr>
  </property>
  <property fmtid="{D5CDD505-2E9C-101B-9397-08002B2CF9AE}" pid="4" name="GSEDS_TWMT">
    <vt:lpwstr>d46a6755_b77b54e0_a7cbc471add4037b5eaecf2c6f25ff28b7d19a51516d57732d043f8d6f57c9af</vt:lpwstr>
  </property>
  <property fmtid="{D5CDD505-2E9C-101B-9397-08002B2CF9AE}" pid="5" name="GSEDS_HWMT_d46a6755">
    <vt:lpwstr>f24438f1_mFV3xj84ISk3NspOlnv9p/LkTvI=_8QYrr15JQlBJXsc08wb8ymZb5MmbI1ve0+ImPaMMbIsxKqf7YjXMnivdN4qwzRLe32X1cPFABDQ1fgsOWEsKMwqIzxJ5EA==_ad9cab16</vt:lpwstr>
  </property>
</Properties>
</file>